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001-36222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43"/>
          <w:szCs w:val="43"/>
          <w:b w:val="1"/>
          <w:bCs w:val="1"/>
          <w:color w:val="auto"/>
        </w:rPr>
        <w:t>Autohome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18th Floor Tower B, CEC Plaza</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3 Dan Ling Street</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Haidian District, Beijing 100080</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The 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Autohome Inc. (the “Company”) filed its annual report on Form 20-F for the fiscal year ended December 31, 2025 with the United States Securities and Exchange Commission on April 15, 2026, U.S. Eastern Time. On April 15, 2026, Hong Kong Time, the Company also published its annual report for the fiscal year ended December 31, 2025 (the “HK Annual Report”) pursuant to the Rules Governing the Listing of Securities on The Stock Exchange of Hong Kong Limited (the “HKEX Listing Rules”). Pursuant to the HKEX Listing Rules, the HK Annual Report contains supplemental disclosure of reconciliation of the material differences between the consolidated financial statements of the Company prepared under the U.S. GAAP and International Financial Reporting Standards, which has been attached hereto as Exhibit 99.1.</w:t>
      </w:r>
    </w:p>
    <w:p>
      <w:pPr>
        <w:sectPr>
          <w:pgSz w:w="11900" w:h="16838" w:orient="portrait"/>
          <w:cols w:equalWidth="0" w:num="1">
            <w:col w:w="11000"/>
          </w:cols>
          <w:pgMar w:left="440" w:top="270" w:right="459" w:bottom="1440" w:gutter="0" w:footer="0" w:header="0"/>
        </w:sectPr>
      </w:pPr>
    </w:p>
    <w:bookmarkStart w:id="2" w:name="page3"/>
    <w:bookmarkEnd w:id="2"/>
    <w:p>
      <w:pPr>
        <w:ind w:left="50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Exhibit 99.1 – </w:t>
      </w:r>
      <w:r>
        <w:rPr>
          <w:rFonts w:ascii="Times New Roman" w:cs="Times New Roman" w:eastAsia="Times New Roman" w:hAnsi="Times New Roman"/>
          <w:sz w:val="17"/>
          <w:szCs w:val="17"/>
          <w:u w:val="single" w:color="auto"/>
          <w:color w:val="0000EE"/>
        </w:rPr>
        <w:t>Supplemental Disclosure – Reconciliation Between U.S. GAAP and International Financial Reporting Standards</w:t>
      </w:r>
    </w:p>
    <w:p>
      <w:pPr>
        <w:sectPr>
          <w:pgSz w:w="11900" w:h="16838" w:orient="portrait"/>
          <w:cols w:equalWidth="0" w:num="1">
            <w:col w:w="10019"/>
          </w:cols>
          <w:pgMar w:left="440" w:top="270" w:right="1440"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Autohome Inc.</w:t>
      </w:r>
    </w:p>
    <w:p>
      <w:pPr>
        <w:spacing w:after="0" w:line="266"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Chi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Chi Liu</w:t>
      </w:r>
    </w:p>
    <w:p>
      <w:pPr>
        <w:spacing w:after="0" w:line="27" w:lineRule="exact"/>
        <w:rPr>
          <w:sz w:val="20"/>
          <w:szCs w:val="20"/>
          <w:color w:val="auto"/>
        </w:rPr>
      </w:pPr>
    </w:p>
    <w:p>
      <w:pPr>
        <w:jc w:val="both"/>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Chairman of the Board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15, 2026</w:t>
      </w:r>
    </w:p>
    <w:p>
      <w:pPr>
        <w:sectPr>
          <w:pgSz w:w="11900" w:h="16838" w:orient="portrait"/>
          <w:cols w:equalWidth="0" w:num="1">
            <w:col w:w="10920"/>
          </w:cols>
          <w:pgMar w:left="440" w:top="270" w:right="5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BETWEEN U.S. GAAP AND INTERNATIONAL FINANCIAL REPORTING STANDARDS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U.S. GAAP, which differ in certain respects from International Financial Reporting Standards (“IFRS”). The effects of material differences between the consolidated financial statements of the Company prepared under U.S. GAAP and IFRS are as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audited consolidated statements of comprehensive income: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3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2"/>
          </w:tcPr>
          <w:p>
            <w:pPr>
              <w:ind w:left="28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spacing w:after="0"/>
              <w:rPr>
                <w:sz w:val="10"/>
                <w:szCs w:val="10"/>
                <w:color w:val="auto"/>
              </w:rPr>
            </w:pPr>
          </w:p>
        </w:tc>
        <w:tc>
          <w:tcPr>
            <w:tcW w:w="920" w:type="dxa"/>
            <w:vAlign w:val="bottom"/>
          </w:tcPr>
          <w:p>
            <w:pPr>
              <w:ind w:left="28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net income in the consolidated statements of comprehensive income</w:t>
            </w:r>
          </w:p>
        </w:tc>
        <w:tc>
          <w:tcPr>
            <w:tcW w:w="8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as reported under U.S. GAAP</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1,623,349</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1,390,122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IFRS adjustments:</w:t>
            </w:r>
          </w:p>
        </w:tc>
        <w:tc>
          <w:tcPr>
            <w:tcW w:w="8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Preferred shares (Note a)</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301,695</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168,930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Leases (Note b)</w:t>
            </w: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1,517</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Share-based compensations (Note c)</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(16,985)</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14,850</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as reported under IFRS</w:t>
            </w: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1,909,576</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1,576,387</w:t>
            </w:r>
          </w:p>
        </w:tc>
        <w:tc>
          <w:tcPr>
            <w:tcW w:w="0" w:type="dxa"/>
            <w:vAlign w:val="bottom"/>
          </w:tcPr>
          <w:p>
            <w:pPr>
              <w:spacing w:after="0"/>
              <w:rPr>
                <w:sz w:val="1"/>
                <w:szCs w:val="1"/>
                <w:color w:val="auto"/>
              </w:rPr>
            </w:pPr>
          </w:p>
        </w:tc>
      </w:tr>
      <w:tr>
        <w:trPr>
          <w:trHeight w:val="20"/>
        </w:trPr>
        <w:tc>
          <w:tcPr>
            <w:tcW w:w="7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Reconciliation of audited consolidated balance sheets: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00" w:type="dxa"/>
            <w:vAlign w:val="bottom"/>
            <w:gridSpan w:val="3"/>
            <w:vMerge w:val="continue"/>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3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jc w:val="right"/>
              <w:ind w:right="179"/>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80" w:type="dxa"/>
            <w:vAlign w:val="bottom"/>
            <w:gridSpan w:val="2"/>
          </w:tcPr>
          <w:p>
            <w:pPr>
              <w:spacing w:after="0"/>
              <w:rPr>
                <w:sz w:val="10"/>
                <w:szCs w:val="10"/>
                <w:color w:val="auto"/>
              </w:rPr>
            </w:pPr>
          </w:p>
        </w:tc>
        <w:tc>
          <w:tcPr>
            <w:tcW w:w="920" w:type="dxa"/>
            <w:vAlign w:val="bottom"/>
          </w:tcPr>
          <w:p>
            <w:pPr>
              <w:jc w:val="right"/>
              <w:ind w:right="236"/>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total equity in the consolidated balance sheets</w:t>
            </w:r>
          </w:p>
        </w:tc>
        <w:tc>
          <w:tcPr>
            <w:tcW w:w="8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 as reported under U.S. GAAP</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23,269,121</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22,173,987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IFRS adjustments:</w:t>
            </w:r>
          </w:p>
        </w:tc>
        <w:tc>
          <w:tcPr>
            <w:tcW w:w="8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Preferred shares (Note a)</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1,693,068</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2,067,762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Leases (Note b)</w:t>
            </w:r>
          </w:p>
        </w:tc>
        <w:tc>
          <w:tcPr>
            <w:tcW w:w="11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(8,019)</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(5,534)</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as reported under IFRS</w:t>
            </w:r>
          </w:p>
        </w:tc>
        <w:tc>
          <w:tcPr>
            <w:tcW w:w="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24,954,170</w:t>
            </w:r>
          </w:p>
        </w:tc>
        <w:tc>
          <w:tcPr>
            <w:tcW w:w="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24,236,215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Preparation</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The Directors of the Company are responsible for preparation of the Reconciliation Statement in accordance with the relevant requirements of the Hong Kong Listing Rules. The Reconciliation Statement was prepared based on the Company’s consolidated financial information for the year ended December 31, 2025 prepared under U.S. GAAP, with adjustments made (if any) thereto in arriving at the unaudited financial information of the Company prepared under IFRS. The adjustments reflect the differences between the Company’s accounting policies under U.S. GAAP and IFRS.</w:t>
      </w:r>
    </w:p>
    <w:p>
      <w:pPr>
        <w:spacing w:after="0" w:line="85" w:lineRule="exact"/>
        <w:rPr>
          <w:sz w:val="20"/>
          <w:szCs w:val="20"/>
          <w:color w:val="auto"/>
        </w:rPr>
      </w:pPr>
    </w:p>
    <w:p>
      <w:pPr>
        <w:ind w:left="1420" w:hanging="439"/>
        <w:spacing w:after="0"/>
        <w:tabs>
          <w:tab w:leader="none" w:pos="142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Preferred Shares</w:t>
      </w:r>
    </w:p>
    <w:p>
      <w:pPr>
        <w:spacing w:after="0" w:line="225" w:lineRule="exact"/>
        <w:rPr>
          <w:sz w:val="20"/>
          <w:szCs w:val="20"/>
          <w:color w:val="auto"/>
        </w:rPr>
      </w:pPr>
    </w:p>
    <w:p>
      <w:pPr>
        <w:ind w:right="4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Under U.S. GAAP, the preferred shares of the Company are accounted for as mezzanine equity, which is subsequently accreted to the amount which equals to redemption value of each series of preferred shares.</w:t>
      </w:r>
    </w:p>
    <w:p>
      <w:pPr>
        <w:spacing w:after="0" w:line="158"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Under IFRS, the preferred shares, which are redeemable at the option of the holder, represent a financial liability. And the financial liability is measured at fair value and changes in the fair value are reflected in the consolidated statements of comprehensive income. The amount of change in the fair value of the financial liability that is attributable to changes in the credit risk of the liability shall be recognized in other comprehensive income/(loss); the remaining amount of change in the fair value of the liability shall be recognized in profit or loss.</w:t>
      </w:r>
    </w:p>
    <w:p>
      <w:pPr>
        <w:spacing w:after="0" w:line="180"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Accordingly, the reconciliation includes a fair value profit change of RMB301.70 million and RMB168.93 million recognized in the consolidated statements of comprehensive income for each of the years ended December 31, 2024 and 2025, respectively. The reconciliation also includes the difference between mezzanine equity under U.S. GAAP and financial liabilities under IFRS of RMB1,693.07 million and RMB2,067.76 million as at December 31, 2024 and 2025, respectively.</w:t>
      </w:r>
    </w:p>
    <w:p>
      <w:pPr>
        <w:spacing w:after="0" w:line="85" w:lineRule="exact"/>
        <w:rPr>
          <w:sz w:val="20"/>
          <w:szCs w:val="20"/>
          <w:color w:val="auto"/>
        </w:rPr>
      </w:pPr>
    </w:p>
    <w:p>
      <w:pPr>
        <w:ind w:left="1420" w:hanging="439"/>
        <w:spacing w:after="0"/>
        <w:tabs>
          <w:tab w:leader="none" w:pos="142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Leases</w:t>
      </w:r>
    </w:p>
    <w:p>
      <w:pPr>
        <w:sectPr>
          <w:pgSz w:w="11900" w:h="16838" w:orient="portrait"/>
          <w:cols w:equalWidth="0" w:num="1">
            <w:col w:w="11020"/>
          </w:cols>
          <w:pgMar w:left="440" w:top="117" w:right="439" w:bottom="1440" w:gutter="0" w:footer="0" w:header="0"/>
        </w:sectPr>
      </w:pPr>
    </w:p>
    <w:bookmarkStart w:id="5" w:name="page6"/>
    <w:bookmarkEnd w:id="5"/>
    <w:p>
      <w:pPr>
        <w:ind w:right="2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operating leases under U.S. GAAP, the subsequent measurement of the lease liability is based on the present value of the remaining lease payments using the discount rate determined at lease commencement, while the right-of-use asset is remeasured at the amount of the lease liability, adjusted for the remaining balance of any lease incentives received, cumulative prepaid or accrued rents, unamortized initial direct costs and any impairment. This treatment under U.S. GAAP results in straight line expense being incurred over the lease term, as opposed to IFRS which generally yields a “front-loaded” expense with more expense recognized in earlier years of the lease.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Accordingly, the reconciliation includes an expenses difference recognized in the consolidated statements of comprehensive income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RMB1.52 million and RMB2.49 million for each of the years ended December 31, 2024 and 2025. The reconciliation also includes a difference in total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of RMB8.02 million (negative)and RMB5.53 million (negative) as at December 31, 2024 and 2025, respectively.</w:t>
      </w:r>
    </w:p>
    <w:p>
      <w:pPr>
        <w:spacing w:after="0" w:line="110" w:lineRule="exact"/>
        <w:rPr>
          <w:sz w:val="20"/>
          <w:szCs w:val="20"/>
          <w:color w:val="auto"/>
        </w:rPr>
      </w:pPr>
    </w:p>
    <w:p>
      <w:pPr>
        <w:ind w:left="1420" w:hanging="439"/>
        <w:spacing w:after="0"/>
        <w:tabs>
          <w:tab w:leader="none" w:pos="14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Share-based Compensation</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Under U.S. GAAP, the Company has elected to recognize compensation expense using the straight-line method for all share-based awards granted with service conditions that have a graded vesting schedule. For awards with performance condition and multiple service periods, if the performance conditions are independent for each year, each tranche is accounted for as a separate award with its own service inception date, grant-date fair value and requisite service period. Compensation cost is recognized over the respective requisite service period separately for each separately-vesting tranche as though each tranche of the award is, in substance, a separate award.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Under IFRS, the accelerated method is required to recognize compensation expense for all employee equity awards granted with graded vesting.</w:t>
      </w:r>
    </w:p>
    <w:p>
      <w:pPr>
        <w:spacing w:after="0" w:line="333" w:lineRule="exact"/>
        <w:rPr>
          <w:sz w:val="20"/>
          <w:szCs w:val="20"/>
          <w:color w:val="auto"/>
        </w:rPr>
      </w:pPr>
    </w:p>
    <w:p>
      <w:pPr>
        <w:ind w:right="9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Accordingly, the reconciliation includes an expense recognition difference in the consolidated statements of comprehensive income of RMB16.99 million (negative) and RMB14.85 million (positive) for the years ended December 31, 2024 and 2025, respectively.</w:t>
      </w:r>
    </w:p>
    <w:sectPr>
      <w:pgSz w:w="11900" w:h="16838" w:orient="portrait"/>
      <w:cols w:equalWidth="0" w:num="1">
        <w:col w:w="11000"/>
      </w:cols>
      <w:pgMar w:left="440" w:top="26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2026-04-15T09:30:55Z</dcterms:created>
  <dcterms:modified xsi:type="dcterms:W3CDTF">2026-04-15T09:30:55Z</dcterms:modified>
</cp:coreProperties>
</file>