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-602615</wp:posOffset>
            </wp:positionV>
            <wp:extent cx="57150" cy="61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639445</wp:posOffset>
            </wp:positionV>
            <wp:extent cx="7049135" cy="4920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92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Xiang Bibo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AUTOHOME INC., 18TH FLOOR TOWER B CEC PLAZA, 3 DAN LING STREET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HAIDIAN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DISTRICT, F4 100080 BEIJING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9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Autohome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05/29/2026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28,900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72,876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05/29/2026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10,508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4.3461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62,368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9.7275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05/29/2026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227,556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05/29/2026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11/01/2031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227,556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227,556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  <w:r>
        <w:rPr>
          <w:rFonts w:ascii="Times New Roman" w:cs="Times New Roman" w:eastAsia="Times New Roman" w:hAnsi="Times New Roman"/>
          <w:sz w:val="20"/>
          <w:szCs w:val="20"/>
          <w:color w:val="008000"/>
          <w:vertAlign w:val="superscript"/>
        </w:rPr>
        <w:t>(3)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performance-based restricted shares for which the Reporting Person is entitled to receive one (1) Ordinary Share for each resticted share that vested and settled as of May 29, 2026.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shares sold to satifsfy the Reporting Person's tax withholding obligations upon settlement of the restricted shares.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an award of performance-based option to purchase Issuer's Ordinary Shares that vested and became exercisable as of May 29, 2026.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/s/ Bibo Xiang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06/02/2026</w:t>
            </w: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5234" TargetMode="External"/><Relationship Id="rId14" Type="http://schemas.openxmlformats.org/officeDocument/2006/relationships/hyperlink" Target="http://www.sec.gov/cgi-bin/browse-edgar?action=getcompany&amp;CIK=00015276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2026-06-02T15:48:28Z</dcterms:created>
  <dcterms:modified xsi:type="dcterms:W3CDTF">2026-06-02T15:48:28Z</dcterms:modified>
</cp:coreProperties>
</file>