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43"/>
          <w:szCs w:val="43"/>
          <w:b w:val="1"/>
          <w:bCs w:val="1"/>
          <w:color w:val="auto"/>
        </w:rPr>
        <w:t>Autohome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18th Floor Tower B, CEC Plaza</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 Dan Ling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Haidian District, Beijing 100080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2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2"/>
                <w:szCs w:val="22"/>
                <w:color w:val="auto"/>
              </w:rPr>
            </w:pPr>
          </w:p>
        </w:tc>
        <w:tc>
          <w:tcPr>
            <w:tcW w:w="95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Press Release — Autohome Inc. to Hold Annual General Meeting on June 23, 2026</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60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Notice of Annual General Meeting</w:t>
            </w:r>
          </w:p>
        </w:tc>
        <w:tc>
          <w:tcPr>
            <w:tcW w:w="3540" w:type="dxa"/>
            <w:vAlign w:val="bottom"/>
            <w:gridSpan w:val="2"/>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Form of Proxy for Annual General Meeting</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740" w:type="dxa"/>
            <w:vAlign w:val="bottom"/>
          </w:tcPr>
          <w:p>
            <w:pPr>
              <w:spacing w:after="0"/>
              <w:rPr>
                <w:sz w:val="24"/>
                <w:szCs w:val="24"/>
                <w:color w:val="auto"/>
              </w:rPr>
            </w:pPr>
          </w:p>
        </w:tc>
        <w:tc>
          <w:tcPr>
            <w:tcW w:w="5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Voting Instruction Card for Holders of American Depositary Shares</w:t>
            </w:r>
          </w:p>
        </w:tc>
        <w:tc>
          <w:tcPr>
            <w:tcW w:w="406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740" w:type="dxa"/>
            <w:vAlign w:val="bottom"/>
          </w:tcPr>
          <w:p>
            <w:pPr>
              <w:spacing w:after="0"/>
              <w:rPr>
                <w:sz w:val="24"/>
                <w:szCs w:val="24"/>
                <w:color w:val="auto"/>
              </w:rPr>
            </w:pPr>
          </w:p>
        </w:tc>
        <w:tc>
          <w:tcPr>
            <w:tcW w:w="65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Press Release – Autohome Inc. Announces Unaudited First Quarter 2026 Financial Results</w:t>
            </w:r>
          </w:p>
        </w:tc>
        <w:tc>
          <w:tcPr>
            <w:tcW w:w="3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Autohome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 Chi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Chi Liu</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Chairman of the Board, Director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wp:posOffset>
            </wp:positionV>
            <wp:extent cx="108839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83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Autohome Inc. to Hold Annual General Meeting on June 23, 2026</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BEIJING, May 28, 2026 – Autohome Inc. (NYSE: ATHM; HKEX: 2518) (“</w:t>
      </w:r>
      <w:r>
        <w:rPr>
          <w:rFonts w:ascii="Times New Roman" w:cs="Times New Roman" w:eastAsia="Times New Roman" w:hAnsi="Times New Roman"/>
          <w:sz w:val="18"/>
          <w:szCs w:val="18"/>
          <w:b w:val="1"/>
          <w:bCs w:val="1"/>
          <w:color w:val="auto"/>
        </w:rPr>
        <w:t>Autohome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leading online destination for automobile consumers in China, today announced that it will hold its annual general meeting of shareholders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at 18th Floor, Tower B, CEC Plaza, 3 Dan Ling Street, Haidian District, Beijing, The People’s Republic of China on June 23, 2026 at 3:00 p.m. (Beijing time).</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Holders of record of ordinary shares of the Company at the close of business on May 27, 2026 (Hong Kong time) are entitled to notice of, to attend and to vote at, the AGM or any adjournment(s) or postponement(s) thereof. Holders of the Company’s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as of the close of business on May 27, 2026 (New York time) who wish to exercise their voting rights for the underlying ordinary shares must act through the depositary of the Company’s ADSs, Deutsche Bank Trust Company Americas.</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The Notice of AGM, which sets forth the resolutions to be submitted to shareholder approval at the meeting, and form of proxy for the AGM are available on the Company’s website at </w:t>
      </w:r>
      <w:r>
        <w:rPr>
          <w:rFonts w:ascii="Times New Roman" w:cs="Times New Roman" w:eastAsia="Times New Roman" w:hAnsi="Times New Roman"/>
          <w:sz w:val="18"/>
          <w:szCs w:val="18"/>
          <w:u w:val="single" w:color="auto"/>
          <w:color w:val="auto"/>
        </w:rPr>
        <w:t>https://ir.autohome.com.cn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filed its annual report on Form 20-F, including its audited financial statements, for the fiscal year ended December 31, 2025,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The Form 20-F can be accessed on the Company’s website at </w:t>
      </w:r>
      <w:r>
        <w:rPr>
          <w:rFonts w:ascii="Times New Roman" w:cs="Times New Roman" w:eastAsia="Times New Roman" w:hAnsi="Times New Roman"/>
          <w:sz w:val="18"/>
          <w:szCs w:val="18"/>
          <w:u w:val="single" w:color="auto"/>
          <w:color w:val="auto"/>
        </w:rPr>
        <w:t>https://ir.autohome.com.cn</w:t>
      </w:r>
      <w:r>
        <w:rPr>
          <w:rFonts w:ascii="Times New Roman" w:cs="Times New Roman" w:eastAsia="Times New Roman" w:hAnsi="Times New Roman"/>
          <w:sz w:val="18"/>
          <w:szCs w:val="18"/>
          <w:color w:val="auto"/>
        </w:rPr>
        <w:t xml:space="preserve">, as well as on the SEC’s website at </w:t>
      </w:r>
      <w:r>
        <w:rPr>
          <w:rFonts w:ascii="Times New Roman" w:cs="Times New Roman" w:eastAsia="Times New Roman" w:hAnsi="Times New Roman"/>
          <w:sz w:val="18"/>
          <w:szCs w:val="18"/>
          <w:u w:val="single" w:color="auto"/>
          <w:color w:val="auto"/>
        </w:rPr>
        <w:t>https://www.sec.gov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has also published its annual report for Hong Kong purposes pursuant to the Rules Governing the Listing of Securities on The Stock Exchange of Hong Kong Limited (“</w:t>
      </w:r>
      <w:r>
        <w:rPr>
          <w:rFonts w:ascii="Times New Roman" w:cs="Times New Roman" w:eastAsia="Times New Roman" w:hAnsi="Times New Roman"/>
          <w:sz w:val="18"/>
          <w:szCs w:val="18"/>
          <w:b w:val="1"/>
          <w:bCs w:val="1"/>
          <w:color w:val="auto"/>
        </w:rPr>
        <w:t>HKEX</w:t>
      </w:r>
      <w:r>
        <w:rPr>
          <w:rFonts w:ascii="Times New Roman" w:cs="Times New Roman" w:eastAsia="Times New Roman" w:hAnsi="Times New Roman"/>
          <w:sz w:val="18"/>
          <w:szCs w:val="18"/>
          <w:color w:val="auto"/>
        </w:rPr>
        <w:t xml:space="preserve">”), which can be accessed on the Company’s website at </w:t>
      </w:r>
      <w:r>
        <w:rPr>
          <w:rFonts w:ascii="Times New Roman" w:cs="Times New Roman" w:eastAsia="Times New Roman" w:hAnsi="Times New Roman"/>
          <w:sz w:val="18"/>
          <w:szCs w:val="18"/>
          <w:u w:val="single" w:color="auto"/>
          <w:color w:val="auto"/>
        </w:rPr>
        <w:t>https://ir.autohome.com.cn</w:t>
      </w:r>
      <w:r>
        <w:rPr>
          <w:rFonts w:ascii="Times New Roman" w:cs="Times New Roman" w:eastAsia="Times New Roman" w:hAnsi="Times New Roman"/>
          <w:sz w:val="18"/>
          <w:szCs w:val="18"/>
          <w:color w:val="auto"/>
        </w:rPr>
        <w:t xml:space="preserve">, as well as the HKEX’s website at </w:t>
      </w:r>
      <w:r>
        <w:rPr>
          <w:rFonts w:ascii="Times New Roman" w:cs="Times New Roman" w:eastAsia="Times New Roman" w:hAnsi="Times New Roman"/>
          <w:sz w:val="18"/>
          <w:szCs w:val="18"/>
          <w:u w:val="single" w:color="auto"/>
          <w:color w:val="auto"/>
        </w:rPr>
        <w:t>https://www.hkexnews.hk</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Autohome Inc.</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Autohome Inc. (NYSE: ATHM; HKEX: 2518) is the leading online destination for automobile consumers in China. Its mission is to engage, educate and inform consumers about everything auto. Autohome provides occupationally generated content, professionally generated content, user-generated content, and AI-generated content, a comprehensive automobile library, and extensive automobile listing information to automobile consumers, covering the entire car purchase and ownership cycle. The ability to reach a large and engaged user base of automobile consumers has made Autohome a preferred platform for automakers and dealers to conduct their advertising campaigns. Further, the Company’s dealer subscription and advertising services allow dealers to market their inventory and services through Autohome’s platform, extending the reach of their physical showrooms to potentially millions of internet users in China and generating sales leads for them. The Company offers sales leads, data analysis, and marketing services to assist automakers and dealers with improving their efficiency and facilitating transactions. Autohome operates its “Autohome Mall,” a full-service online transaction platform, to facilitate transactions for automakers and dealers. Further, through its websites and mobile applications, it also provides other value-added services, including auto financing, auto insurance, used car transactions, and aftermarket services. For further information, please visit https://www.autohome.com.cn/.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 Song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+86-10-5985-7483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ir@autohome.com.cn</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Christensen China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 Cheng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+86-185-0060-8364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suri.cheng@christensencomms.com</w:t>
      </w:r>
    </w:p>
    <w:p>
      <w:pPr>
        <w:sectPr>
          <w:pgSz w:w="11900" w:h="16838" w:orient="portrait"/>
          <w:cols w:equalWidth="0" w:num="1">
            <w:col w:w="10019"/>
          </w:cols>
          <w:pgMar w:left="440" w:top="266"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(Incorporated in the Cayman Islands with limited liability)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(NYSE: ATHM and HKEX: 2518)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be held on June 23, 2026</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(or any adjournment(s) or postponement(s) thereof)</w:t>
      </w:r>
    </w:p>
    <w:p>
      <w:pPr>
        <w:spacing w:after="0" w:line="203" w:lineRule="exact"/>
        <w:rPr>
          <w:sz w:val="20"/>
          <w:szCs w:val="20"/>
          <w:color w:val="auto"/>
        </w:rPr>
      </w:pPr>
    </w:p>
    <w:p>
      <w:pPr>
        <w:jc w:val="both"/>
        <w:ind w:left="4"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an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Autohome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3:00 p.m. on June 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(Beijing time) at 18th Floor, Tower B, CEC Plaza, 3 Dan Ling Street, Haidian District, Beijing, The People’s Republic of China for the purpose to consider and, if thought fit, pass the following resolutions (the “</w:t>
      </w:r>
      <w:r>
        <w:rPr>
          <w:rFonts w:ascii="Times New Roman" w:cs="Times New Roman" w:eastAsia="Times New Roman" w:hAnsi="Times New Roman"/>
          <w:sz w:val="18"/>
          <w:szCs w:val="18"/>
          <w:b w:val="1"/>
          <w:bCs w:val="1"/>
          <w:color w:val="auto"/>
        </w:rPr>
        <w:t>Proposed Resolutions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424" w:right="14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special resolution, THAT the Company’s Seventh Amended and Restated Memorandum of Association and Articles of Association be amended and restated by the deletion in their entirety and by the substitution in their place of the Eighth Amended and Restated Memorandum of Association and Articles of Association in the form as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Mr. Chi Liu be re-elected as a director of the Company and each director of the Company be and is hereby authorized to take any and every action that might be necessary to effect the foregoing resolution as such director, in his or her absolute discretion, thinks fit.</w:t>
      </w:r>
    </w:p>
    <w:p>
      <w:pPr>
        <w:spacing w:after="0" w:line="81" w:lineRule="exact"/>
        <w:rPr>
          <w:rFonts w:ascii="Times New Roman" w:cs="Times New Roman" w:eastAsia="Times New Roman" w:hAnsi="Times New Roman"/>
          <w:sz w:val="18"/>
          <w:szCs w:val="18"/>
          <w:color w:val="auto"/>
        </w:rPr>
      </w:pPr>
    </w:p>
    <w:p>
      <w:pPr>
        <w:jc w:val="both"/>
        <w:ind w:left="424" w:right="6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Mr. Haishan Liang be re-elected as a director of the Company and each director of the Company be and is hereby authorized to take any and every action that might be necessary to effect the foregoing resolution as such director, in his or her absolute discretion, thinks fit.</w:t>
      </w:r>
    </w:p>
    <w:p>
      <w:pPr>
        <w:spacing w:after="0" w:line="81" w:lineRule="exact"/>
        <w:rPr>
          <w:rFonts w:ascii="Times New Roman" w:cs="Times New Roman" w:eastAsia="Times New Roman" w:hAnsi="Times New Roman"/>
          <w:sz w:val="18"/>
          <w:szCs w:val="18"/>
          <w:color w:val="auto"/>
        </w:rPr>
      </w:pPr>
    </w:p>
    <w:p>
      <w:pPr>
        <w:jc w:val="both"/>
        <w:ind w:left="424" w:right="6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Ms. Cuimei Zhang be re-elected as a director of the Company and each director of the Company be and is hereby authorized to take any and every action that might be necessary to effect the foregoing resolution as such director, in his or her absolute discretion, thinks fit.</w:t>
      </w:r>
    </w:p>
    <w:p>
      <w:pPr>
        <w:spacing w:after="0" w:line="81" w:lineRule="exact"/>
        <w:rPr>
          <w:rFonts w:ascii="Times New Roman" w:cs="Times New Roman" w:eastAsia="Times New Roman" w:hAnsi="Times New Roman"/>
          <w:sz w:val="18"/>
          <w:szCs w:val="18"/>
          <w:color w:val="auto"/>
        </w:rPr>
      </w:pPr>
    </w:p>
    <w:p>
      <w:pPr>
        <w:jc w:val="both"/>
        <w:ind w:left="424" w:right="6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Mr. Shenglei Zhou be re-elected as a director of the Company and each director of the Company be and is hereby authorized to take any and every action that might be necessary to effect the foregoing resolution as such director, in his or her absolute discretion, thinks fit.</w:t>
      </w:r>
    </w:p>
    <w:p>
      <w:pPr>
        <w:spacing w:after="0" w:line="81"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Mr. Xing Fang be re-elected as a director of the Company and each director of the Company be and is hereby authorized to take any and every action that might be necessary to effect the foregoing resolution as such director, in his or her absolute discretion, thinks fit.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addition, the meeting will transact any other business properly brought before the meeting.</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6" w:name="page7"/>
    <w:bookmarkEnd w:id="6"/>
    <w:p>
      <w:pPr>
        <w:ind w:right="4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additional information on certain proposed amendments to the Company’s Seventh Amended and Restated Memorandum of Association and Articles of Association in response to, among others, additional requirements by The Stock Exchange of Hong Kong Limited, please see Exhibit A attached 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biographical information regarding the foregoing directors is set forth in Exhibit C hereto.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RECORD DATE AND ADS RECORD DATE</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May 27, 2026 (Hong Kong time) as the record date (the “</w:t>
      </w:r>
      <w:r>
        <w:rPr>
          <w:rFonts w:ascii="Times New Roman" w:cs="Times New Roman" w:eastAsia="Times New Roman" w:hAnsi="Times New Roman"/>
          <w:sz w:val="18"/>
          <w:szCs w:val="18"/>
          <w:b w:val="1"/>
          <w:bCs w:val="1"/>
          <w:color w:val="auto"/>
        </w:rPr>
        <w:t>Shares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of the Company’s ordinary shares with a par value of US$0.0025 each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Holders of record of Shares (as of the Shares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are entitled to attend and vote at the AGM and any adjournment(s) or postponement(s) thereof. The latest time for lodging transfers of Shares with the branch share registrar and transfer office of the Company in Hong Kong, Computershare Hong Kong Investor Services Limited, at Shops 1712– 1716, 17th Floor, Hopewell Centre, 183 Queen’s Road East, Wanchai, Hong Kong for registration in order to qualify for attending and voting at the AGM is 4:30 p.m. on May 27, 2026 (Hong Kong time).</w:t>
      </w:r>
    </w:p>
    <w:p>
      <w:pPr>
        <w:spacing w:after="0" w:line="18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Holders of record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as of the close of business on May 27, 2026 (New York time) (the “</w:t>
      </w:r>
      <w:r>
        <w:rPr>
          <w:rFonts w:ascii="Times New Roman" w:cs="Times New Roman" w:eastAsia="Times New Roman" w:hAnsi="Times New Roman"/>
          <w:sz w:val="18"/>
          <w:szCs w:val="18"/>
          <w:b w:val="1"/>
          <w:bCs w:val="1"/>
          <w:color w:val="auto"/>
        </w:rPr>
        <w:t>ADS Record Date</w:t>
      </w:r>
      <w:r>
        <w:rPr>
          <w:rFonts w:ascii="Times New Roman" w:cs="Times New Roman" w:eastAsia="Times New Roman" w:hAnsi="Times New Roman"/>
          <w:sz w:val="18"/>
          <w:szCs w:val="18"/>
          <w:color w:val="auto"/>
        </w:rPr>
        <w:t>”) who wish to exercise their voting rights for the underlying Shares must give voting instructions to Deutsche Bank Trust Company Americas, the depositary of the ADSs.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AGM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holders of record of Shares as of the Shares Record Date are entitled to attend and vote at the AGM.</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officers and agents of the Company reserve the right to refuse any person entry to the AGM venue, or to instruct any person to leave the AGM venue, where such officer or agent reasonably considers that such refusal or instruction is or may be required for the Company or any other person to be able to comply with applicable laws and regulations. The exercise of such right to refuse entry or instruct to leave shall not invalidate the proceedings at the AGM.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FORMS AND ADS VOTING CARDS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holder of Shares as of the Shares Record Date may appoint a proxy to exercise his or her rights at the AGM. A holder of ADSs as of the ADS Record Date who wishes to direct the vote attaching to Shares represented by your ADSs will need to instruct Deutsche Bank Trust Company Americas, the depositary of the ADSs, as to how to vote the Shares represented by the ADSs. Please refer to the proxy form (for holders of Shares) or ADS voting card (for holders of ADSs).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record of Shares on the Company’s register of members as of the Shares Record Date are cordially invited to attend the AGM in person. Your vote is important. You are urged to complete, sign, date and return the accompanying proxy form to us (for holders of Shares) or your voting instructions to Deutsche Bank Trust Company Americas (for holders of the ADSs) as promptly as possible and before the prescribed deadline if you wish to exercise your voting rights. We must receive the proxy form by no later than 3:00 p.m. (Hong Kong time) on June 21, 2026 at 17M Floor, Hopewell Centre, 183 Queen’s Road East, Wanchai, Hong Kong to ensure your representation at the AGM, and Deutsche Bank Trust Company Americas must receive your voting instructions by no later than 10:00 a.m. (New York time) on June 12, 2026 to enable the votes attaching to the Shares represented by your ADSs to be cast at the AGM.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has filed its annual report on Form 20-F, including its audited financial statements, for the fiscal year ended December 31, 2025,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The Form 20-F can be accessed on the Company’s website at </w:t>
      </w:r>
      <w:r>
        <w:rPr>
          <w:rFonts w:ascii="Times New Roman" w:cs="Times New Roman" w:eastAsia="Times New Roman" w:hAnsi="Times New Roman"/>
          <w:sz w:val="18"/>
          <w:szCs w:val="18"/>
          <w:b w:val="1"/>
          <w:bCs w:val="1"/>
          <w:u w:val="single" w:color="auto"/>
          <w:color w:val="auto"/>
        </w:rPr>
        <w:t>https://ir.autohome.com.cn</w:t>
      </w:r>
      <w:r>
        <w:rPr>
          <w:rFonts w:ascii="Times New Roman" w:cs="Times New Roman" w:eastAsia="Times New Roman" w:hAnsi="Times New Roman"/>
          <w:sz w:val="18"/>
          <w:szCs w:val="18"/>
          <w:color w:val="auto"/>
        </w:rPr>
        <w:t xml:space="preserve">, as well as on the SEC’s website at </w:t>
      </w:r>
      <w:r>
        <w:rPr>
          <w:rFonts w:ascii="Times New Roman" w:cs="Times New Roman" w:eastAsia="Times New Roman" w:hAnsi="Times New Roman"/>
          <w:sz w:val="18"/>
          <w:szCs w:val="18"/>
          <w:b w:val="1"/>
          <w:bCs w:val="1"/>
          <w:u w:val="single" w:color="auto"/>
          <w:color w:val="auto"/>
        </w:rPr>
        <w:t>https://www.sec.gov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also published its annual report for Hong Kong purposes pursuant to the Rules Governing the Listing of Securities on The Stock Exchange of Hong Kong Limited (“</w:t>
      </w:r>
      <w:r>
        <w:rPr>
          <w:rFonts w:ascii="Times New Roman" w:cs="Times New Roman" w:eastAsia="Times New Roman" w:hAnsi="Times New Roman"/>
          <w:sz w:val="18"/>
          <w:szCs w:val="18"/>
          <w:b w:val="1"/>
          <w:bCs w:val="1"/>
          <w:color w:val="auto"/>
        </w:rPr>
        <w:t>HKEX</w:t>
      </w:r>
      <w:r>
        <w:rPr>
          <w:rFonts w:ascii="Times New Roman" w:cs="Times New Roman" w:eastAsia="Times New Roman" w:hAnsi="Times New Roman"/>
          <w:sz w:val="18"/>
          <w:szCs w:val="18"/>
          <w:color w:val="auto"/>
        </w:rPr>
        <w:t xml:space="preserve">”), which can be accessed on the Company’s website at </w:t>
      </w:r>
      <w:r>
        <w:rPr>
          <w:rFonts w:ascii="Times New Roman" w:cs="Times New Roman" w:eastAsia="Times New Roman" w:hAnsi="Times New Roman"/>
          <w:sz w:val="18"/>
          <w:szCs w:val="18"/>
          <w:b w:val="1"/>
          <w:bCs w:val="1"/>
          <w:u w:val="single" w:color="auto"/>
          <w:color w:val="auto"/>
        </w:rPr>
        <w:t>https://ir.autohome.com.cn</w:t>
      </w:r>
      <w:r>
        <w:rPr>
          <w:rFonts w:ascii="Times New Roman" w:cs="Times New Roman" w:eastAsia="Times New Roman" w:hAnsi="Times New Roman"/>
          <w:sz w:val="18"/>
          <w:szCs w:val="18"/>
          <w:color w:val="auto"/>
        </w:rPr>
        <w:t xml:space="preserve">, as well as the HKEX’s website at </w:t>
      </w:r>
      <w:r>
        <w:rPr>
          <w:rFonts w:ascii="Times New Roman" w:cs="Times New Roman" w:eastAsia="Times New Roman" w:hAnsi="Times New Roman"/>
          <w:sz w:val="18"/>
          <w:szCs w:val="18"/>
          <w:b w:val="1"/>
          <w:bCs w:val="1"/>
          <w:u w:val="single" w:color="auto"/>
          <w:color w:val="auto"/>
        </w:rPr>
        <w:t>https://www.hkexnews.hk</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Chi Liu</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 on Certain Proposed Amendments to the Articles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AMENDMENTS TO THE ARTICLES</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following amendments to the Company’s Seventh Amended and Restated Memorandum of Association and Articles of Association (the “</w:t>
      </w: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are proposed to, among others, (i) bring the Seventh Articles in line with the level of core shareholder protection as set out in Appendix A1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Hong Kong Listing Rules to the extent necessary; and (ii) make house-keeping amendments to the Seventh Articles. Details of the proposed amendments to the Seventh Articles are as follows: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334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1400" w:type="dxa"/>
            <w:vAlign w:val="bottom"/>
            <w:tcBorders>
              <w:top w:val="single" w:sz="8" w:color="auto"/>
              <w:bottom w:val="single" w:sz="8" w:color="auto"/>
              <w:right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3640" w:type="dxa"/>
            <w:vAlign w:val="bottom"/>
            <w:tcBorders>
              <w:top w:val="single" w:sz="8" w:color="auto"/>
              <w:bottom w:val="single" w:sz="8" w:color="auto"/>
              <w:right w:val="single" w:sz="8" w:color="auto"/>
            </w:tcBorders>
            <w:gridSpan w:val="10"/>
          </w:tcPr>
          <w:p>
            <w:pPr>
              <w:ind w:left="62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63"/>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2(1)</w:t>
            </w: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Nil</w:t>
            </w:r>
          </w:p>
        </w:tc>
        <w:tc>
          <w:tcPr>
            <w:tcW w:w="14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“Communication Facilities”</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439"/>
        </w:trPr>
        <w:tc>
          <w:tcPr>
            <w:tcW w:w="1680" w:type="dxa"/>
            <w:vAlign w:val="bottom"/>
            <w:tcBorders>
              <w:left w:val="single" w:sz="8" w:color="auto"/>
              <w:right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video, video-conferencing, internet or online conferencing</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applications, telephone or tele-conferencing, and/ or any other</w:t>
            </w:r>
          </w:p>
        </w:tc>
        <w:tc>
          <w:tcPr>
            <w:tcW w:w="60" w:type="dxa"/>
            <w:vAlign w:val="bottom"/>
            <w:tcBorders>
              <w:right w:val="single" w:sz="8" w:color="auto"/>
            </w:tcBorders>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video-communications, internet or online conferencing</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application or telecommunications facilities by means of</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which all Persons participating in a meeting are capable of</w:t>
            </w:r>
          </w:p>
        </w:tc>
        <w:tc>
          <w:tcPr>
            <w:tcW w:w="320" w:type="dxa"/>
            <w:vAlign w:val="bottom"/>
            <w:tcBorders>
              <w:right w:val="single" w:sz="8" w:color="auto"/>
            </w:tcBorders>
            <w:gridSpan w:val="4"/>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hearing and being heard by each other and all Members’</w:t>
            </w: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top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rights to speak and vote at the meeting are maintained.</w:t>
            </w:r>
          </w:p>
        </w:tc>
        <w:tc>
          <w:tcPr>
            <w:tcW w:w="460" w:type="dxa"/>
            <w:vAlign w:val="bottom"/>
            <w:tcBorders>
              <w:right w:val="single" w:sz="8" w:color="auto"/>
            </w:tcBorders>
            <w:gridSpan w:val="6"/>
          </w:tcPr>
          <w:p>
            <w:pPr>
              <w:spacing w:after="0"/>
              <w:rPr>
                <w:sz w:val="17"/>
                <w:szCs w:val="17"/>
                <w:color w:val="auto"/>
              </w:rPr>
            </w:pPr>
          </w:p>
        </w:tc>
      </w:tr>
      <w:tr>
        <w:trPr>
          <w:trHeight w:val="34"/>
        </w:trPr>
        <w:tc>
          <w:tcPr>
            <w:tcW w:w="1680" w:type="dxa"/>
            <w:vAlign w:val="bottom"/>
            <w:tcBorders>
              <w:left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80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63"/>
        </w:trPr>
        <w:tc>
          <w:tcPr>
            <w:tcW w:w="1680" w:type="dxa"/>
            <w:vAlign w:val="bottom"/>
            <w:tcBorders>
              <w:left w:val="single" w:sz="8" w:color="auto"/>
              <w:right w:val="single" w:sz="8" w:color="auto"/>
            </w:tcBorders>
          </w:tcPr>
          <w:p>
            <w:pPr>
              <w:spacing w:after="0"/>
              <w:rPr>
                <w:sz w:val="22"/>
                <w:szCs w:val="22"/>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Nil</w:t>
            </w:r>
          </w:p>
        </w:tc>
        <w:tc>
          <w:tcPr>
            <w:tcW w:w="14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“Electronic”</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r>
      <w:tr>
        <w:trPr>
          <w:trHeight w:val="439"/>
        </w:trPr>
        <w:tc>
          <w:tcPr>
            <w:tcW w:w="1680" w:type="dxa"/>
            <w:vAlign w:val="bottom"/>
            <w:tcBorders>
              <w:left w:val="single" w:sz="8" w:color="auto"/>
              <w:right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has the same meaning as in the Electronic Transactions Act.</w:t>
            </w:r>
          </w:p>
        </w:tc>
      </w:tr>
      <w:tr>
        <w:trPr>
          <w:trHeight w:val="34"/>
        </w:trPr>
        <w:tc>
          <w:tcPr>
            <w:tcW w:w="1680" w:type="dxa"/>
            <w:vAlign w:val="bottom"/>
            <w:tcBorders>
              <w:left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8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64"/>
        </w:trPr>
        <w:tc>
          <w:tcPr>
            <w:tcW w:w="1680" w:type="dxa"/>
            <w:vAlign w:val="bottom"/>
            <w:tcBorders>
              <w:left w:val="single" w:sz="8" w:color="auto"/>
              <w:right w:val="single" w:sz="8" w:color="auto"/>
            </w:tcBorders>
          </w:tcPr>
          <w:p>
            <w:pPr>
              <w:spacing w:after="0"/>
              <w:rPr>
                <w:sz w:val="22"/>
                <w:szCs w:val="22"/>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Nil</w:t>
            </w:r>
          </w:p>
        </w:tc>
        <w:tc>
          <w:tcPr>
            <w:tcW w:w="14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“Electronic Transactions Act”</w:t>
            </w:r>
          </w:p>
        </w:tc>
        <w:tc>
          <w:tcPr>
            <w:tcW w:w="2380" w:type="dxa"/>
            <w:vAlign w:val="bottom"/>
            <w:tcBorders>
              <w:right w:val="single" w:sz="8" w:color="auto"/>
            </w:tcBorders>
            <w:gridSpan w:val="8"/>
          </w:tcPr>
          <w:p>
            <w:pPr>
              <w:spacing w:after="0"/>
              <w:rPr>
                <w:sz w:val="22"/>
                <w:szCs w:val="22"/>
                <w:color w:val="auto"/>
              </w:rPr>
            </w:pPr>
          </w:p>
        </w:tc>
      </w:tr>
      <w:tr>
        <w:trPr>
          <w:trHeight w:val="439"/>
        </w:trPr>
        <w:tc>
          <w:tcPr>
            <w:tcW w:w="1680" w:type="dxa"/>
            <w:vAlign w:val="bottom"/>
            <w:tcBorders>
              <w:left w:val="single" w:sz="8" w:color="auto"/>
              <w:right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the Electronic Transactions Act (As Revised) of the Cayman</w:t>
            </w: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top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Islands.</w:t>
            </w:r>
          </w:p>
        </w:tc>
        <w:tc>
          <w:tcPr>
            <w:tcW w:w="180" w:type="dxa"/>
            <w:vAlign w:val="bottom"/>
            <w:tcBorders>
              <w:right w:val="single" w:sz="8" w:color="auto"/>
            </w:tcBorders>
            <w:gridSpan w:val="2"/>
          </w:tcPr>
          <w:p>
            <w:pPr>
              <w:spacing w:after="0"/>
              <w:rPr>
                <w:sz w:val="17"/>
                <w:szCs w:val="17"/>
                <w:color w:val="auto"/>
              </w:rPr>
            </w:pPr>
          </w:p>
        </w:tc>
      </w:tr>
      <w:tr>
        <w:trPr>
          <w:trHeight w:val="34"/>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358"/>
        </w:trPr>
        <w:tc>
          <w:tcPr>
            <w:tcW w:w="1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3240" w:type="dxa"/>
            <w:vAlign w:val="bottom"/>
            <w:tcBorders>
              <w:top w:val="single" w:sz="8" w:color="auto"/>
              <w:bottom w:val="single" w:sz="8" w:color="auto"/>
              <w:right w:val="single" w:sz="8" w:color="auto"/>
            </w:tcBorders>
            <w:gridSpan w:val="17"/>
          </w:tcPr>
          <w:p>
            <w:pPr>
              <w:ind w:left="22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64"/>
        </w:trPr>
        <w:tc>
          <w:tcPr>
            <w:tcW w:w="1680" w:type="dxa"/>
            <w:vAlign w:val="bottom"/>
            <w:tcBorders>
              <w:left w:val="single" w:sz="8" w:color="auto"/>
              <w:right w:val="single" w:sz="8" w:color="auto"/>
            </w:tcBorders>
          </w:tcPr>
          <w:p>
            <w:pPr>
              <w:spacing w:after="0"/>
              <w:rPr>
                <w:sz w:val="22"/>
                <w:szCs w:val="22"/>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tcPr>
          <w:p>
            <w:pPr>
              <w:spacing w:after="0"/>
              <w:rPr>
                <w:sz w:val="22"/>
                <w:szCs w:val="22"/>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“Person”</w:t>
            </w:r>
          </w:p>
        </w:tc>
        <w:tc>
          <w:tcPr>
            <w:tcW w:w="3880" w:type="dxa"/>
            <w:vAlign w:val="bottom"/>
            <w:tcBorders>
              <w:right w:val="single" w:sz="8" w:color="auto"/>
            </w:tcBorders>
            <w:gridSpan w:val="19"/>
          </w:tcPr>
          <w:p>
            <w:pPr>
              <w:spacing w:after="0"/>
              <w:rPr>
                <w:sz w:val="22"/>
                <w:szCs w:val="22"/>
                <w:color w:val="auto"/>
              </w:rPr>
            </w:pPr>
          </w:p>
        </w:tc>
      </w:tr>
      <w:tr>
        <w:trPr>
          <w:trHeight w:val="439"/>
        </w:trPr>
        <w:tc>
          <w:tcPr>
            <w:tcW w:w="1680" w:type="dxa"/>
            <w:vAlign w:val="bottom"/>
            <w:tcBorders>
              <w:left w:val="single" w:sz="8" w:color="auto"/>
              <w:right w:val="single" w:sz="8" w:color="auto"/>
            </w:tcBorders>
          </w:tcPr>
          <w:p>
            <w:pPr>
              <w:spacing w:after="0"/>
              <w:rPr>
                <w:sz w:val="24"/>
                <w:szCs w:val="24"/>
                <w:color w:val="auto"/>
              </w:rPr>
            </w:pPr>
          </w:p>
        </w:tc>
        <w:tc>
          <w:tcPr>
            <w:tcW w:w="47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Borders>
              <w:right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means any natural person, firm, company, joint venture,</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380" w:type="dxa"/>
            <w:vAlign w:val="bottom"/>
            <w:tcBorders>
              <w:bottom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9"/>
              </w:rPr>
              <w:t>partnership, corporation, association or other entity (whether</w:t>
            </w:r>
          </w:p>
        </w:tc>
        <w:tc>
          <w:tcPr>
            <w:tcW w:w="160" w:type="dxa"/>
            <w:vAlign w:val="bottom"/>
            <w:tcBorders>
              <w:right w:val="single" w:sz="8" w:color="auto"/>
            </w:tcBorders>
            <w:gridSpan w:val="2"/>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9"/>
              </w:rPr>
              <w:t>or not having a separate legal personality) or any of them as</w:t>
            </w:r>
          </w:p>
        </w:tc>
        <w:tc>
          <w:tcPr>
            <w:tcW w:w="220" w:type="dxa"/>
            <w:vAlign w:val="bottom"/>
            <w:tcBorders>
              <w:right w:val="single" w:sz="8" w:color="auto"/>
            </w:tcBorders>
            <w:gridSpan w:val="5"/>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the context so requires.</w:t>
            </w:r>
          </w:p>
        </w:tc>
      </w:tr>
      <w:tr>
        <w:trPr>
          <w:trHeight w:val="34"/>
        </w:trPr>
        <w:tc>
          <w:tcPr>
            <w:tcW w:w="1680" w:type="dxa"/>
            <w:vAlign w:val="bottom"/>
            <w:tcBorders>
              <w:left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64"/>
        </w:trPr>
        <w:tc>
          <w:tcPr>
            <w:tcW w:w="1680" w:type="dxa"/>
            <w:vAlign w:val="bottom"/>
            <w:tcBorders>
              <w:left w:val="single" w:sz="8" w:color="auto"/>
              <w:right w:val="single" w:sz="8" w:color="auto"/>
            </w:tcBorders>
          </w:tcPr>
          <w:p>
            <w:pPr>
              <w:spacing w:after="0"/>
              <w:rPr>
                <w:sz w:val="22"/>
                <w:szCs w:val="22"/>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tcPr>
          <w:p>
            <w:pPr>
              <w:spacing w:after="0"/>
              <w:rPr>
                <w:sz w:val="22"/>
                <w:szCs w:val="22"/>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“Present”</w:t>
            </w:r>
          </w:p>
        </w:tc>
        <w:tc>
          <w:tcPr>
            <w:tcW w:w="3840" w:type="dxa"/>
            <w:vAlign w:val="bottom"/>
            <w:tcBorders>
              <w:right w:val="single" w:sz="8" w:color="auto"/>
            </w:tcBorders>
            <w:gridSpan w:val="18"/>
          </w:tcPr>
          <w:p>
            <w:pPr>
              <w:spacing w:after="0"/>
              <w:rPr>
                <w:sz w:val="22"/>
                <w:szCs w:val="22"/>
                <w:color w:val="auto"/>
              </w:rPr>
            </w:pPr>
          </w:p>
        </w:tc>
      </w:tr>
      <w:tr>
        <w:trPr>
          <w:trHeight w:val="439"/>
        </w:trPr>
        <w:tc>
          <w:tcPr>
            <w:tcW w:w="1680" w:type="dxa"/>
            <w:vAlign w:val="bottom"/>
            <w:tcBorders>
              <w:left w:val="single" w:sz="8" w:color="auto"/>
              <w:right w:val="single" w:sz="8" w:color="auto"/>
            </w:tcBorders>
          </w:tcPr>
          <w:p>
            <w:pPr>
              <w:spacing w:after="0"/>
              <w:rPr>
                <w:sz w:val="24"/>
                <w:szCs w:val="24"/>
                <w:color w:val="auto"/>
              </w:rPr>
            </w:pPr>
          </w:p>
        </w:tc>
        <w:tc>
          <w:tcPr>
            <w:tcW w:w="47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9"/>
              </w:rPr>
              <w:t>in respect of any Person, such Person’s presence at a general</w:t>
            </w:r>
          </w:p>
        </w:tc>
        <w:tc>
          <w:tcPr>
            <w:tcW w:w="180" w:type="dxa"/>
            <w:vAlign w:val="bottom"/>
            <w:tcBorders>
              <w:right w:val="single" w:sz="8" w:color="auto"/>
            </w:tcBorders>
            <w:gridSpan w:val="3"/>
          </w:tcPr>
          <w:p>
            <w:pPr>
              <w:spacing w:after="0"/>
              <w:rPr>
                <w:sz w:val="24"/>
                <w:szCs w:val="24"/>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9"/>
              </w:rPr>
              <w:t>meeting of Members, which may be satisfied by means of</w:t>
            </w:r>
          </w:p>
        </w:tc>
        <w:tc>
          <w:tcPr>
            <w:tcW w:w="360" w:type="dxa"/>
            <w:vAlign w:val="bottom"/>
            <w:tcBorders>
              <w:right w:val="single" w:sz="8" w:color="auto"/>
            </w:tcBorders>
            <w:gridSpan w:val="8"/>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such Person or, if a corporation or other non- natural Person,</w:t>
            </w: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top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rPr>
              <w:t>its duly authorised representative (or, in the case of any</w:t>
            </w:r>
          </w:p>
        </w:tc>
        <w:tc>
          <w:tcPr>
            <w:tcW w:w="180" w:type="dxa"/>
            <w:vAlign w:val="bottom"/>
            <w:tcBorders>
              <w:right w:val="single" w:sz="8" w:color="auto"/>
            </w:tcBorders>
            <w:gridSpan w:val="3"/>
          </w:tcPr>
          <w:p>
            <w:pPr>
              <w:spacing w:after="0"/>
              <w:rPr>
                <w:sz w:val="17"/>
                <w:szCs w:val="17"/>
                <w:color w:val="auto"/>
              </w:rPr>
            </w:pP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right w:val="single" w:sz="8" w:color="auto"/>
            </w:tcBorders>
            <w:gridSpan w:val="3"/>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300" w:type="dxa"/>
            <w:vAlign w:val="bottom"/>
            <w:tcBorders>
              <w:bottom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w w:val="99"/>
              </w:rPr>
              <w:t>Member, a proxy which has been validly appointed by such</w:t>
            </w:r>
          </w:p>
        </w:tc>
        <w:tc>
          <w:tcPr>
            <w:tcW w:w="240" w:type="dxa"/>
            <w:vAlign w:val="bottom"/>
            <w:tcBorders>
              <w:right w:val="single" w:sz="8" w:color="auto"/>
            </w:tcBorders>
            <w:gridSpan w:val="6"/>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Member in accordance with these Articles) being: (a)</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right w:val="single" w:sz="8" w:color="auto"/>
            </w:tcBorders>
            <w:gridSpan w:val="3"/>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9"/>
              </w:rPr>
              <w:t>physically present at the meeting; or (b) in the case of any</w:t>
            </w:r>
          </w:p>
        </w:tc>
        <w:tc>
          <w:tcPr>
            <w:tcW w:w="360" w:type="dxa"/>
            <w:vAlign w:val="bottom"/>
            <w:tcBorders>
              <w:right w:val="single" w:sz="8" w:color="auto"/>
            </w:tcBorders>
            <w:gridSpan w:val="8"/>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meeting at which Communications Facilities are permitted in</w:t>
            </w: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Borders>
              <w:top w:val="single" w:sz="8" w:color="auto"/>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accordance with these Articles, connected by means of the</w:t>
            </w:r>
          </w:p>
        </w:tc>
        <w:tc>
          <w:tcPr>
            <w:tcW w:w="180" w:type="dxa"/>
            <w:vAlign w:val="bottom"/>
            <w:tcBorders>
              <w:top w:val="single" w:sz="8" w:color="auto"/>
            </w:tcBorders>
            <w:gridSpan w:val="6"/>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use of such Communication Facilities.</w:t>
            </w:r>
          </w:p>
        </w:tc>
      </w:tr>
      <w:tr>
        <w:trPr>
          <w:trHeight w:val="34"/>
        </w:trPr>
        <w:tc>
          <w:tcPr>
            <w:tcW w:w="1680" w:type="dxa"/>
            <w:vAlign w:val="bottom"/>
            <w:tcBorders>
              <w:left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64"/>
        </w:trPr>
        <w:tc>
          <w:tcPr>
            <w:tcW w:w="1680" w:type="dxa"/>
            <w:vAlign w:val="bottom"/>
            <w:tcBorders>
              <w:left w:val="single" w:sz="8" w:color="auto"/>
              <w:right w:val="single" w:sz="8" w:color="auto"/>
            </w:tcBorders>
          </w:tcPr>
          <w:p>
            <w:pPr>
              <w:spacing w:after="0"/>
              <w:rPr>
                <w:sz w:val="22"/>
                <w:szCs w:val="22"/>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tcPr>
          <w:p>
            <w:pPr>
              <w:spacing w:after="0"/>
              <w:rPr>
                <w:sz w:val="22"/>
                <w:szCs w:val="22"/>
                <w:color w:val="auto"/>
              </w:rPr>
            </w:pPr>
          </w:p>
        </w:tc>
        <w:tc>
          <w:tcPr>
            <w:tcW w:w="4540" w:type="dxa"/>
            <w:vAlign w:val="bottom"/>
            <w:tcBorders>
              <w:right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“Virtual Meeting”</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right w:val="single" w:sz="8" w:color="auto"/>
            </w:tcBorders>
            <w:gridSpan w:val="3"/>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Borders>
              <w:right w:val="single" w:sz="8" w:color="auto"/>
            </w:tcBorders>
            <w:gridSpan w:val="4"/>
          </w:tcPr>
          <w:p>
            <w:pPr>
              <w:spacing w:after="0" w:line="20" w:lineRule="exact"/>
              <w:rPr>
                <w:sz w:val="1"/>
                <w:szCs w:val="1"/>
                <w:color w:val="auto"/>
              </w:rPr>
            </w:pPr>
          </w:p>
        </w:tc>
      </w:tr>
      <w:tr>
        <w:trPr>
          <w:trHeight w:val="439"/>
        </w:trPr>
        <w:tc>
          <w:tcPr>
            <w:tcW w:w="1680" w:type="dxa"/>
            <w:vAlign w:val="bottom"/>
            <w:tcBorders>
              <w:left w:val="single" w:sz="8" w:color="auto"/>
              <w:right w:val="single" w:sz="8" w:color="auto"/>
            </w:tcBorders>
          </w:tcPr>
          <w:p>
            <w:pPr>
              <w:spacing w:after="0"/>
              <w:rPr>
                <w:sz w:val="24"/>
                <w:szCs w:val="24"/>
                <w:color w:val="auto"/>
              </w:rPr>
            </w:pPr>
          </w:p>
        </w:tc>
        <w:tc>
          <w:tcPr>
            <w:tcW w:w="47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any general meeting of the Members at which the Members</w:t>
            </w:r>
          </w:p>
        </w:tc>
        <w:tc>
          <w:tcPr>
            <w:tcW w:w="240" w:type="dxa"/>
            <w:vAlign w:val="bottom"/>
            <w:tcBorders>
              <w:right w:val="single" w:sz="8" w:color="auto"/>
            </w:tcBorders>
            <w:gridSpan w:val="6"/>
          </w:tcPr>
          <w:p>
            <w:pPr>
              <w:spacing w:after="0"/>
              <w:rPr>
                <w:sz w:val="24"/>
                <w:szCs w:val="24"/>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and any other permitted participants of such meeting</w:t>
            </w:r>
          </w:p>
        </w:tc>
        <w:tc>
          <w:tcPr>
            <w:tcW w:w="700" w:type="dxa"/>
            <w:vAlign w:val="bottom"/>
            <w:tcBorders>
              <w:right w:val="single" w:sz="8" w:color="auto"/>
            </w:tcBorders>
            <w:gridSpan w:val="11"/>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(including, without limitation, the chairman of such meeting</w:t>
            </w: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120" w:type="dxa"/>
            <w:vAlign w:val="bottom"/>
            <w:tcBorders>
              <w:top w:val="single" w:sz="8" w:color="auto"/>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and any Directors) are permitted to attend and participate</w:t>
            </w:r>
          </w:p>
        </w:tc>
        <w:tc>
          <w:tcPr>
            <w:tcW w:w="220" w:type="dxa"/>
            <w:vAlign w:val="bottom"/>
            <w:tcBorders>
              <w:top w:val="single" w:sz="8" w:color="auto"/>
            </w:tcBorders>
            <w:gridSpan w:val="5"/>
          </w:tcPr>
          <w:p>
            <w:pPr>
              <w:spacing w:after="0"/>
              <w:rPr>
                <w:sz w:val="17"/>
                <w:szCs w:val="17"/>
                <w:color w:val="auto"/>
              </w:rPr>
            </w:pPr>
          </w:p>
        </w:tc>
        <w:tc>
          <w:tcPr>
            <w:tcW w:w="200" w:type="dxa"/>
            <w:vAlign w:val="bottom"/>
            <w:tcBorders>
              <w:right w:val="single" w:sz="8" w:color="auto"/>
            </w:tcBorders>
            <w:gridSpan w:val="4"/>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solely by means of Communication Facilities.</w:t>
            </w:r>
          </w:p>
        </w:tc>
      </w:tr>
      <w:tr>
        <w:trPr>
          <w:trHeight w:val="34"/>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63"/>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2(2)(c)</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words importing persons include companies, associations and</w:t>
            </w:r>
          </w:p>
        </w:tc>
        <w:tc>
          <w:tcPr>
            <w:tcW w:w="80" w:type="dxa"/>
            <w:vAlign w:val="bottom"/>
          </w:tcPr>
          <w:p>
            <w:pPr>
              <w:spacing w:after="0"/>
              <w:rPr>
                <w:sz w:val="22"/>
                <w:szCs w:val="22"/>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words importing</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strike w:val="1"/>
                <w:w w:val="87"/>
              </w:rPr>
              <w:t>persons</w:t>
            </w:r>
          </w:p>
        </w:tc>
        <w:tc>
          <w:tcPr>
            <w:tcW w:w="2740" w:type="dxa"/>
            <w:vAlign w:val="bottom"/>
            <w:tcBorders>
              <w:right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rPr>
              <w:t>Persons include companies,</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gridSpan w:val="14"/>
          </w:tcPr>
          <w:p>
            <w:pPr>
              <w:spacing w:after="0" w:line="20" w:lineRule="exact"/>
              <w:rPr>
                <w:sz w:val="1"/>
                <w:szCs w:val="1"/>
                <w:color w:val="auto"/>
              </w:rPr>
            </w:pPr>
          </w:p>
        </w:tc>
      </w:tr>
      <w:tr>
        <w:trPr>
          <w:trHeight w:val="237"/>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bodies of persons whether corporate or not;</w:t>
            </w:r>
          </w:p>
        </w:tc>
        <w:tc>
          <w:tcPr>
            <w:tcW w:w="80" w:type="dxa"/>
            <w:vAlign w:val="bottom"/>
            <w:tcBorders>
              <w:bottom w:val="single" w:sz="8" w:color="auto"/>
            </w:tcBorders>
          </w:tcPr>
          <w:p>
            <w:pPr>
              <w:spacing w:after="0"/>
              <w:rPr>
                <w:sz w:val="20"/>
                <w:szCs w:val="20"/>
                <w:color w:val="auto"/>
              </w:rPr>
            </w:pPr>
          </w:p>
        </w:tc>
        <w:tc>
          <w:tcPr>
            <w:tcW w:w="4540" w:type="dxa"/>
            <w:vAlign w:val="bottom"/>
            <w:tcBorders>
              <w:bottom w:val="single" w:sz="8" w:color="auto"/>
              <w:right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associations and bodies of persons whether corporate or not;</w:t>
            </w:r>
          </w:p>
        </w:tc>
      </w:tr>
      <w:tr>
        <w:trPr>
          <w:trHeight w:val="358"/>
        </w:trPr>
        <w:tc>
          <w:tcPr>
            <w:tcW w:w="1680" w:type="dxa"/>
            <w:vAlign w:val="bottom"/>
          </w:tcPr>
          <w:p>
            <w:pPr>
              <w:spacing w:after="0"/>
              <w:rPr>
                <w:sz w:val="24"/>
                <w:szCs w:val="24"/>
                <w:color w:val="auto"/>
              </w:rPr>
            </w:pPr>
          </w:p>
        </w:tc>
        <w:tc>
          <w:tcPr>
            <w:tcW w:w="47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6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3080" w:type="dxa"/>
            <w:vAlign w:val="bottom"/>
            <w:tcBorders>
              <w:top w:val="single" w:sz="8" w:color="auto"/>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2(2)(h)</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references to a document being executed include references to</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references to a document being executed include references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 being executed under hand or under seal or by electronic</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to it being executed under hand or under seal or by</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signature or by any other method and references to a notice or</w:t>
            </w:r>
          </w:p>
        </w:tc>
        <w:tc>
          <w:tcPr>
            <w:tcW w:w="8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strike w:val="1"/>
                <w:w w:val="98"/>
              </w:rPr>
              <w:t>electronic</w:t>
            </w:r>
          </w:p>
        </w:tc>
        <w:tc>
          <w:tcPr>
            <w:tcW w:w="3820" w:type="dxa"/>
            <w:vAlign w:val="bottom"/>
            <w:tcBorders>
              <w:right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Electronic signature or by any other method and</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document include a notice or document recorded or stored in</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references to a notice or document include a notice or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digital, electronic, electrical, magnetic or other retrievable</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document recorded or stored in any digital, electronic,</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form or medium and information in visible form whether</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electrical, magnetic or other retrievable form or medium and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having physical substance or not;</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information in visible form whether having physical</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substance or not;</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2(2)(i)</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8 of the Electronic Transactions Act (As Revised) of</w:t>
            </w:r>
          </w:p>
        </w:tc>
        <w:tc>
          <w:tcPr>
            <w:tcW w:w="336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w w:val="98"/>
              </w:rPr>
              <w:t>Section 8 of the Electronic Transactions Act (</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strike w:val="1"/>
              </w:rPr>
              <w:t>As Revised) of</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Cayman Islands, as amended from time to time, shall not</w:t>
            </w: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strike w:val="1"/>
                <w:w w:val="99"/>
              </w:rPr>
              <w:t>the Cayman Islands</w:t>
            </w:r>
          </w:p>
        </w:tc>
        <w:tc>
          <w:tcPr>
            <w:tcW w:w="30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 as amended from time to time, shall not</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apply to these Articles to the extent it imposes obligations or</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apply to these Articles to the extent it imposes obligations or</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requirements in addition to those set out in these Articles.</w:t>
            </w:r>
          </w:p>
        </w:tc>
        <w:tc>
          <w:tcPr>
            <w:tcW w:w="4620" w:type="dxa"/>
            <w:vAlign w:val="bottom"/>
            <w:tcBorders>
              <w:bottom w:val="single" w:sz="8" w:color="auto"/>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requirements in addition to those set out in these Articles.</w:t>
            </w:r>
          </w:p>
        </w:tc>
      </w:tr>
      <w:tr>
        <w:trPr>
          <w:trHeight w:val="304"/>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9(c)</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r>
      <w:tr>
        <w:trPr>
          <w:trHeight w:val="441"/>
        </w:trPr>
        <w:tc>
          <w:tcPr>
            <w:tcW w:w="1680" w:type="dxa"/>
            <w:vAlign w:val="bottom"/>
            <w:tcBorders>
              <w:left w:val="single" w:sz="8" w:color="auto"/>
              <w:right w:val="single" w:sz="8" w:color="auto"/>
            </w:tcBorders>
          </w:tcPr>
          <w:p>
            <w:pPr>
              <w:spacing w:after="0"/>
              <w:rPr>
                <w:sz w:val="24"/>
                <w:szCs w:val="24"/>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holder of shares of the class present in person or by proxy</w:t>
            </w:r>
          </w:p>
        </w:tc>
        <w:tc>
          <w:tcPr>
            <w:tcW w:w="24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any holder of shares of the class</w:t>
            </w:r>
          </w:p>
        </w:tc>
        <w:tc>
          <w:tcPr>
            <w:tcW w:w="2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strike w:val="1"/>
              </w:rPr>
              <w:t>present in person or by proxy</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or authorised representative may demand a poll.</w:t>
            </w:r>
          </w:p>
        </w:tc>
        <w:tc>
          <w:tcPr>
            <w:tcW w:w="2080" w:type="dxa"/>
            <w:vAlign w:val="bottom"/>
            <w:gridSpan w:val="6"/>
          </w:tcPr>
          <w:p>
            <w:pPr>
              <w:ind w:left="80"/>
              <w:spacing w:after="0" w:line="194" w:lineRule="exact"/>
              <w:rPr>
                <w:sz w:val="20"/>
                <w:szCs w:val="20"/>
                <w:color w:val="auto"/>
              </w:rPr>
            </w:pPr>
            <w:r>
              <w:rPr>
                <w:rFonts w:ascii="Times New Roman" w:cs="Times New Roman" w:eastAsia="Times New Roman" w:hAnsi="Times New Roman"/>
                <w:sz w:val="18"/>
                <w:szCs w:val="18"/>
                <w:color w:val="auto"/>
                <w:strike w:val="1"/>
                <w:w w:val="99"/>
              </w:rPr>
              <w:t>or authorised representative</w:t>
            </w:r>
          </w:p>
        </w:tc>
        <w:tc>
          <w:tcPr>
            <w:tcW w:w="2540" w:type="dxa"/>
            <w:vAlign w:val="bottom"/>
            <w:tcBorders>
              <w:right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Present may demand a poll.</w:t>
            </w:r>
          </w:p>
        </w:tc>
      </w:tr>
      <w:tr>
        <w:trPr>
          <w:trHeight w:val="34"/>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28</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 Member shall be entitled to receive any dividend or bonus</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No Member shall be entitled to receive any dividend or bonus</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or to be present and vote (save as proxy for another Member) at</w:t>
            </w:r>
          </w:p>
        </w:tc>
        <w:tc>
          <w:tcPr>
            <w:tcW w:w="6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or to be</w:t>
            </w:r>
          </w:p>
        </w:tc>
        <w:tc>
          <w:tcPr>
            <w:tcW w:w="5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strike w:val="1"/>
                <w:w w:val="96"/>
              </w:rPr>
              <w:t>present</w:t>
            </w:r>
          </w:p>
        </w:tc>
        <w:tc>
          <w:tcPr>
            <w:tcW w:w="3420" w:type="dxa"/>
            <w:vAlign w:val="bottom"/>
            <w:tcBorders>
              <w:right w:val="single" w:sz="8" w:color="auto"/>
            </w:tcBorders>
            <w:gridSpan w:val="7"/>
          </w:tcPr>
          <w:p>
            <w:pPr>
              <w:spacing w:after="0" w:line="194" w:lineRule="exact"/>
              <w:rPr>
                <w:sz w:val="20"/>
                <w:szCs w:val="20"/>
                <w:color w:val="auto"/>
              </w:rPr>
            </w:pPr>
            <w:r>
              <w:rPr>
                <w:rFonts w:ascii="Times New Roman" w:cs="Times New Roman" w:eastAsia="Times New Roman" w:hAnsi="Times New Roman"/>
                <w:sz w:val="18"/>
                <w:szCs w:val="18"/>
                <w:color w:val="auto"/>
              </w:rPr>
              <w:t>Present and vote (save as proxy for another</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general meeting either personally or by proxy, or be</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Member) at any general meeting either personally or by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reckoned in a quorum, or exercise any other privilege as a</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proxy, or be reckoned in a quorum, or exercise any other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Member until all calls or installments due by him to the</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privilege as a Member until all calls or installments due by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whether alone or jointly with any other person,</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him to the Company, whether alone or jointly with any other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together with interest and expenses (if any) shall have been</w:t>
            </w:r>
          </w:p>
        </w:tc>
        <w:tc>
          <w:tcPr>
            <w:tcW w:w="46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person, together with interest and expenses (if any) shall have</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paid.</w:t>
            </w:r>
          </w:p>
        </w:tc>
        <w:tc>
          <w:tcPr>
            <w:tcW w:w="4620" w:type="dxa"/>
            <w:vAlign w:val="bottom"/>
            <w:tcBorders>
              <w:bottom w:val="single" w:sz="8" w:color="auto"/>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been paid.</w:t>
            </w:r>
          </w:p>
        </w:tc>
      </w:tr>
      <w:tr>
        <w:trPr>
          <w:trHeight w:val="358"/>
        </w:trPr>
        <w:tc>
          <w:tcPr>
            <w:tcW w:w="1680" w:type="dxa"/>
            <w:vAlign w:val="bottom"/>
          </w:tcPr>
          <w:p>
            <w:pPr>
              <w:spacing w:after="0"/>
              <w:rPr>
                <w:sz w:val="24"/>
                <w:szCs w:val="24"/>
                <w:color w:val="auto"/>
              </w:rPr>
            </w:pPr>
          </w:p>
        </w:tc>
        <w:tc>
          <w:tcPr>
            <w:tcW w:w="47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1580" w:type="dxa"/>
            <w:vAlign w:val="bottom"/>
            <w:tcBorders>
              <w:top w:val="single" w:sz="8" w:color="auto"/>
              <w:bottom w:val="single" w:sz="8" w:color="auto"/>
            </w:tcBorders>
          </w:tcPr>
          <w:p>
            <w:pPr>
              <w:spacing w:after="0"/>
              <w:rPr>
                <w:sz w:val="14"/>
                <w:szCs w:val="14"/>
                <w:color w:val="auto"/>
              </w:rPr>
            </w:pPr>
          </w:p>
        </w:tc>
        <w:tc>
          <w:tcPr>
            <w:tcW w:w="3040" w:type="dxa"/>
            <w:vAlign w:val="bottom"/>
            <w:tcBorders>
              <w:top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43</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Register and branch register of Members, as the case may</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The Register and branch register of Members, as the case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 shall be open to inspection for such times and on such days</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may be, shall be open to inspection for such times and on</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the Board shall determine by Members without charge or by</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such days as the Board shall determine by Members without</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other person, upon a maximum payment of US$2.50 or</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charge or by any other person, upon a maximum payment of</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such other sum specified by the Board, at the Office or</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US$2.50 or such other sum specified by the Board, at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Registration Office or such other place at which the Register is</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Office or Registration Office or such other place at which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kept in accordance with the Act. The Register including any</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Register is kept in accordance with the Act. The Register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overseas or local or other branch register of Members may,</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including any overseas or local or other branch register of</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after compliance with any notice requirement of the Designated</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Members may, after compliance with any notice requirement</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Stock Exchange, as applicable to the Company, or by any</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of the Designated Stock Exchange, as applicable to the</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electronic means in such manner as may be accepted by the</w:t>
            </w:r>
          </w:p>
        </w:tc>
        <w:tc>
          <w:tcPr>
            <w:tcW w:w="15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Company, or by any</w:t>
            </w:r>
          </w:p>
        </w:tc>
        <w:tc>
          <w:tcPr>
            <w:tcW w:w="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strike w:val="1"/>
                <w:w w:val="98"/>
              </w:rPr>
              <w:t>electronic</w:t>
            </w:r>
          </w:p>
        </w:tc>
        <w:tc>
          <w:tcPr>
            <w:tcW w:w="232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Electronic means in such</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Designated Stock Exchange to that effect, be closed at such</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manner as may be accepted by the Designated Stock</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times or for such periods not exceeding in the whole thirty</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Exchange to that effect, be closed at such times or for such</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 days in each year as the Board may determine and either</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periods not exceeding in the whole thirty (30) days in each</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generally or in respect of any class of shares.</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year as the Board may determine and either generally or in</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respect of any class of shares.</w:t>
            </w:r>
          </w:p>
        </w:tc>
      </w:tr>
      <w:tr>
        <w:trPr>
          <w:trHeight w:val="358"/>
        </w:trPr>
        <w:tc>
          <w:tcPr>
            <w:tcW w:w="1680" w:type="dxa"/>
            <w:vAlign w:val="bottom"/>
          </w:tcPr>
          <w:p>
            <w:pPr>
              <w:spacing w:after="0"/>
              <w:rPr>
                <w:sz w:val="24"/>
                <w:szCs w:val="24"/>
                <w:color w:val="auto"/>
              </w:rPr>
            </w:pPr>
          </w:p>
        </w:tc>
        <w:tc>
          <w:tcPr>
            <w:tcW w:w="47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7</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4100" w:type="dxa"/>
            <w:vAlign w:val="bottom"/>
            <w:tcBorders>
              <w:top w:val="single" w:sz="8" w:color="auto"/>
              <w:bottom w:val="single" w:sz="8" w:color="auto"/>
              <w:right w:val="single" w:sz="8" w:color="auto"/>
            </w:tcBorders>
            <w:gridSpan w:val="8"/>
          </w:tcPr>
          <w:p>
            <w:pPr>
              <w:ind w:left="108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55</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Company shall hold a general meeting in each year within</w:t>
            </w:r>
          </w:p>
        </w:tc>
        <w:tc>
          <w:tcPr>
            <w:tcW w:w="80" w:type="dxa"/>
            <w:vAlign w:val="bottom"/>
          </w:tcPr>
          <w:p>
            <w:pPr>
              <w:spacing w:after="0"/>
              <w:rPr>
                <w:sz w:val="24"/>
                <w:szCs w:val="24"/>
                <w:color w:val="auto"/>
              </w:rPr>
            </w:pPr>
          </w:p>
        </w:tc>
        <w:tc>
          <w:tcPr>
            <w:tcW w:w="454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The Company shall hold a general meeting in each year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six months (or such other period as may be permitted by the</w:t>
            </w:r>
          </w:p>
        </w:tc>
        <w:tc>
          <w:tcPr>
            <w:tcW w:w="80" w:type="dxa"/>
            <w:vAlign w:val="bottom"/>
          </w:tcPr>
          <w:p>
            <w:pPr>
              <w:spacing w:after="0"/>
              <w:rPr>
                <w:sz w:val="18"/>
                <w:szCs w:val="18"/>
                <w:color w:val="auto"/>
              </w:rPr>
            </w:pPr>
          </w:p>
        </w:tc>
        <w:tc>
          <w:tcPr>
            <w:tcW w:w="454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within six months (or such other period as may be permitted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Listing Rules or the Designated Stock Exchange) after the end</w:t>
            </w:r>
          </w:p>
        </w:tc>
        <w:tc>
          <w:tcPr>
            <w:tcW w:w="80" w:type="dxa"/>
            <w:vAlign w:val="bottom"/>
          </w:tcPr>
          <w:p>
            <w:pPr>
              <w:spacing w:after="0"/>
              <w:rPr>
                <w:sz w:val="18"/>
                <w:szCs w:val="18"/>
                <w:color w:val="auto"/>
              </w:rPr>
            </w:pPr>
          </w:p>
        </w:tc>
        <w:tc>
          <w:tcPr>
            <w:tcW w:w="454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by the Listing Rules or the Designated Stock Exchange) after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its financial year as its annual general meeting and shall</w:t>
            </w:r>
          </w:p>
        </w:tc>
        <w:tc>
          <w:tcPr>
            <w:tcW w:w="80" w:type="dxa"/>
            <w:vAlign w:val="bottom"/>
          </w:tcPr>
          <w:p>
            <w:pPr>
              <w:spacing w:after="0"/>
              <w:rPr>
                <w:sz w:val="18"/>
                <w:szCs w:val="18"/>
                <w:color w:val="auto"/>
              </w:rPr>
            </w:pPr>
          </w:p>
        </w:tc>
        <w:tc>
          <w:tcPr>
            <w:tcW w:w="454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the end of its financial year as its annual general meeting and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specify the meeting as such in the notices calling it. The annual</w:t>
            </w:r>
          </w:p>
        </w:tc>
        <w:tc>
          <w:tcPr>
            <w:tcW w:w="80" w:type="dxa"/>
            <w:vAlign w:val="bottom"/>
          </w:tcPr>
          <w:p>
            <w:pPr>
              <w:spacing w:after="0"/>
              <w:rPr>
                <w:sz w:val="18"/>
                <w:szCs w:val="18"/>
                <w:color w:val="auto"/>
              </w:rPr>
            </w:pPr>
          </w:p>
        </w:tc>
        <w:tc>
          <w:tcPr>
            <w:tcW w:w="454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shall specify the meeting as such in the notices calling it.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general meeting shall be held at such time and place as may be</w:t>
            </w:r>
          </w:p>
        </w:tc>
        <w:tc>
          <w:tcPr>
            <w:tcW w:w="80" w:type="dxa"/>
            <w:vAlign w:val="bottom"/>
          </w:tcPr>
          <w:p>
            <w:pPr>
              <w:spacing w:after="0"/>
              <w:rPr>
                <w:sz w:val="18"/>
                <w:szCs w:val="18"/>
                <w:color w:val="auto"/>
              </w:rPr>
            </w:pPr>
          </w:p>
        </w:tc>
        <w:tc>
          <w:tcPr>
            <w:tcW w:w="454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annual general meeting shall be held at such time and place</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determined by the Directors. No business shall be transacted at</w:t>
            </w:r>
          </w:p>
        </w:tc>
        <w:tc>
          <w:tcPr>
            <w:tcW w:w="80" w:type="dxa"/>
            <w:vAlign w:val="bottom"/>
          </w:tcPr>
          <w:p>
            <w:pPr>
              <w:spacing w:after="0"/>
              <w:rPr>
                <w:sz w:val="16"/>
                <w:szCs w:val="16"/>
                <w:color w:val="auto"/>
              </w:rPr>
            </w:pPr>
          </w:p>
        </w:tc>
        <w:tc>
          <w:tcPr>
            <w:tcW w:w="420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w w:val="99"/>
              </w:rPr>
              <w:t>(which, in the case of a Virtual Meeting, includes a virtual</w:t>
            </w:r>
          </w:p>
        </w:tc>
        <w:tc>
          <w:tcPr>
            <w:tcW w:w="340" w:type="dxa"/>
            <w:vAlign w:val="bottom"/>
            <w:tcBorders>
              <w:right w:val="single" w:sz="8" w:color="auto"/>
            </w:tcBorders>
            <w:gridSpan w:val="4"/>
          </w:tcPr>
          <w:p>
            <w:pPr>
              <w:spacing w:after="0"/>
              <w:rPr>
                <w:sz w:val="16"/>
                <w:szCs w:val="16"/>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any annual general meeting of the Company unless stated in the</w:t>
            </w:r>
          </w:p>
        </w:tc>
        <w:tc>
          <w:tcPr>
            <w:tcW w:w="80" w:type="dxa"/>
            <w:vAlign w:val="bottom"/>
          </w:tcPr>
          <w:p>
            <w:pPr>
              <w:spacing w:after="0"/>
              <w:rPr>
                <w:sz w:val="17"/>
                <w:szCs w:val="17"/>
                <w:color w:val="auto"/>
              </w:rPr>
            </w:pPr>
          </w:p>
        </w:tc>
        <w:tc>
          <w:tcPr>
            <w:tcW w:w="4540" w:type="dxa"/>
            <w:vAlign w:val="bottom"/>
            <w:tcBorders>
              <w:right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place) as may be determined by the Directors. No business</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 notice of annual general meeting.</w:t>
            </w:r>
          </w:p>
        </w:tc>
        <w:tc>
          <w:tcPr>
            <w:tcW w:w="80" w:type="dxa"/>
            <w:vAlign w:val="bottom"/>
          </w:tcPr>
          <w:p>
            <w:pPr>
              <w:spacing w:after="0"/>
              <w:rPr>
                <w:sz w:val="18"/>
                <w:szCs w:val="18"/>
                <w:color w:val="auto"/>
              </w:rPr>
            </w:pPr>
          </w:p>
        </w:tc>
        <w:tc>
          <w:tcPr>
            <w:tcW w:w="454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shall be transacted at any annual general meeting of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Company unless stated in the Company’s notice of annual</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54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general meeting.</w:t>
            </w:r>
          </w:p>
        </w:tc>
      </w:tr>
      <w:tr>
        <w:trPr>
          <w:trHeight w:val="264"/>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57(3)</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tcPr>
          <w:p>
            <w:pPr>
              <w:spacing w:after="0"/>
              <w:rPr>
                <w:sz w:val="22"/>
                <w:szCs w:val="22"/>
                <w:color w:val="auto"/>
              </w:rPr>
            </w:pPr>
          </w:p>
        </w:tc>
        <w:tc>
          <w:tcPr>
            <w:tcW w:w="44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The Directors may make Communication Facilities available</w:t>
            </w:r>
          </w:p>
        </w:tc>
        <w:tc>
          <w:tcPr>
            <w:tcW w:w="140" w:type="dxa"/>
            <w:vAlign w:val="bottom"/>
            <w:tcBorders>
              <w:right w:val="single" w:sz="8" w:color="auto"/>
            </w:tcBorders>
          </w:tcPr>
          <w:p>
            <w:pPr>
              <w:spacing w:after="0"/>
              <w:rPr>
                <w:sz w:val="22"/>
                <w:szCs w:val="22"/>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for an annual or extraordinary general meeting of the</w:t>
            </w:r>
          </w:p>
        </w:tc>
        <w:tc>
          <w:tcPr>
            <w:tcW w:w="720" w:type="dxa"/>
            <w:vAlign w:val="bottom"/>
            <w:tcBorders>
              <w:right w:val="single" w:sz="8" w:color="auto"/>
            </w:tcBorders>
            <w:gridSpan w:val="6"/>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38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Company so that members and other participants may attend</w:t>
            </w:r>
          </w:p>
        </w:tc>
        <w:tc>
          <w:tcPr>
            <w:tcW w:w="160" w:type="dxa"/>
            <w:vAlign w:val="bottom"/>
            <w:tcBorders>
              <w:right w:val="single" w:sz="8" w:color="auto"/>
            </w:tcBorders>
            <w:gridSpan w:val="2"/>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and participate at such general meetings by means of such</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38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Communication Facilities. Without limiting the generality of</w:t>
            </w:r>
          </w:p>
        </w:tc>
        <w:tc>
          <w:tcPr>
            <w:tcW w:w="160" w:type="dxa"/>
            <w:vAlign w:val="bottom"/>
            <w:tcBorders>
              <w:right w:val="single" w:sz="8" w:color="auto"/>
            </w:tcBorders>
            <w:gridSpan w:val="2"/>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the foregoing, the Directors may determine that any general</w:t>
            </w: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300" w:type="dxa"/>
            <w:vAlign w:val="bottom"/>
            <w:tcBorders>
              <w:top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meeting may be held as a Virtual Meeting.</w:t>
            </w:r>
          </w:p>
        </w:tc>
        <w:tc>
          <w:tcPr>
            <w:tcW w:w="240" w:type="dxa"/>
            <w:vAlign w:val="bottom"/>
            <w:tcBorders>
              <w:right w:val="single" w:sz="8" w:color="auto"/>
            </w:tcBorders>
            <w:gridSpan w:val="3"/>
          </w:tcPr>
          <w:p>
            <w:pPr>
              <w:spacing w:after="0"/>
              <w:rPr>
                <w:sz w:val="17"/>
                <w:szCs w:val="17"/>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358"/>
        </w:trPr>
        <w:tc>
          <w:tcPr>
            <w:tcW w:w="1680" w:type="dxa"/>
            <w:vAlign w:val="bottom"/>
          </w:tcPr>
          <w:p>
            <w:pPr>
              <w:spacing w:after="0"/>
              <w:rPr>
                <w:sz w:val="24"/>
                <w:szCs w:val="24"/>
                <w:color w:val="auto"/>
              </w:rPr>
            </w:pPr>
          </w:p>
        </w:tc>
        <w:tc>
          <w:tcPr>
            <w:tcW w:w="47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3920" w:type="dxa"/>
            <w:vAlign w:val="bottom"/>
            <w:tcBorders>
              <w:top w:val="single" w:sz="8" w:color="auto"/>
              <w:bottom w:val="single" w:sz="8" w:color="auto"/>
              <w:right w:val="single" w:sz="8" w:color="auto"/>
            </w:tcBorders>
            <w:gridSpan w:val="11"/>
          </w:tcPr>
          <w:p>
            <w:pPr>
              <w:ind w:left="90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64"/>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58(2)</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notice shall specify the time and place of the meeting and,</w:t>
            </w:r>
          </w:p>
        </w:tc>
        <w:tc>
          <w:tcPr>
            <w:tcW w:w="80" w:type="dxa"/>
            <w:vAlign w:val="bottom"/>
          </w:tcPr>
          <w:p>
            <w:pPr>
              <w:spacing w:after="0"/>
              <w:rPr>
                <w:sz w:val="22"/>
                <w:szCs w:val="22"/>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The notice shall specify the time and place (which, in the case</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in case of special business, the general nature of the business.</w:t>
            </w:r>
          </w:p>
        </w:tc>
        <w:tc>
          <w:tcPr>
            <w:tcW w:w="80" w:type="dxa"/>
            <w:vAlign w:val="bottom"/>
          </w:tcPr>
          <w:p>
            <w:pPr>
              <w:spacing w:after="0"/>
              <w:rPr>
                <w:sz w:val="17"/>
                <w:szCs w:val="17"/>
                <w:color w:val="auto"/>
              </w:rPr>
            </w:pPr>
          </w:p>
        </w:tc>
        <w:tc>
          <w:tcPr>
            <w:tcW w:w="454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of a Virtual Meeting, includes a virtual place) of the meeting</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6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notice convening an annual general meeting shall specify</w:t>
            </w:r>
          </w:p>
        </w:tc>
        <w:tc>
          <w:tcPr>
            <w:tcW w:w="80" w:type="dxa"/>
            <w:vAlign w:val="bottom"/>
          </w:tcPr>
          <w:p>
            <w:pPr>
              <w:spacing w:after="0"/>
              <w:rPr>
                <w:sz w:val="18"/>
                <w:szCs w:val="18"/>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and, in case of special business, the general nature of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meeting as such. Notice of every general meeting shall be</w:t>
            </w:r>
          </w:p>
        </w:tc>
        <w:tc>
          <w:tcPr>
            <w:tcW w:w="80" w:type="dxa"/>
            <w:vAlign w:val="bottom"/>
          </w:tcPr>
          <w:p>
            <w:pPr>
              <w:spacing w:after="0"/>
              <w:rPr>
                <w:sz w:val="18"/>
                <w:szCs w:val="18"/>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business. The notice convening an annual general meeting</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given to all Members other than to such Members as, under the</w:t>
            </w:r>
          </w:p>
        </w:tc>
        <w:tc>
          <w:tcPr>
            <w:tcW w:w="80" w:type="dxa"/>
            <w:vAlign w:val="bottom"/>
          </w:tcPr>
          <w:p>
            <w:pPr>
              <w:spacing w:after="0"/>
              <w:rPr>
                <w:sz w:val="18"/>
                <w:szCs w:val="18"/>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shall specify the meeting as such. Notice of every general</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provisions of these Articles or the terms of issue of the shares</w:t>
            </w:r>
          </w:p>
        </w:tc>
        <w:tc>
          <w:tcPr>
            <w:tcW w:w="80" w:type="dxa"/>
            <w:vAlign w:val="bottom"/>
          </w:tcPr>
          <w:p>
            <w:pPr>
              <w:spacing w:after="0"/>
              <w:rPr>
                <w:sz w:val="18"/>
                <w:szCs w:val="18"/>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meeting shall be given to all Members other than to such</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they hold, are not entitled to receive such notices from the</w:t>
            </w:r>
          </w:p>
        </w:tc>
        <w:tc>
          <w:tcPr>
            <w:tcW w:w="80" w:type="dxa"/>
            <w:vAlign w:val="bottom"/>
          </w:tcPr>
          <w:p>
            <w:pPr>
              <w:spacing w:after="0"/>
              <w:rPr>
                <w:sz w:val="18"/>
                <w:szCs w:val="18"/>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Members as, under the provisions of these Articles or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to all persons entitled to a share in consequence of</w:t>
            </w:r>
          </w:p>
        </w:tc>
        <w:tc>
          <w:tcPr>
            <w:tcW w:w="80" w:type="dxa"/>
            <w:vAlign w:val="bottom"/>
          </w:tcPr>
          <w:p>
            <w:pPr>
              <w:spacing w:after="0"/>
              <w:rPr>
                <w:sz w:val="18"/>
                <w:szCs w:val="18"/>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terms of issue of the shares they hold, are not entitled to</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the death or bankruptcy or winding-up of a Member and to each</w:t>
            </w:r>
          </w:p>
        </w:tc>
        <w:tc>
          <w:tcPr>
            <w:tcW w:w="80" w:type="dxa"/>
            <w:vAlign w:val="bottom"/>
          </w:tcPr>
          <w:p>
            <w:pPr>
              <w:spacing w:after="0"/>
              <w:rPr>
                <w:sz w:val="18"/>
                <w:szCs w:val="18"/>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receive such notices from the Company, to all persons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the Directors and the Auditors.</w:t>
            </w:r>
          </w:p>
        </w:tc>
        <w:tc>
          <w:tcPr>
            <w:tcW w:w="80" w:type="dxa"/>
            <w:vAlign w:val="bottom"/>
          </w:tcPr>
          <w:p>
            <w:pPr>
              <w:spacing w:after="0"/>
              <w:rPr>
                <w:sz w:val="18"/>
                <w:szCs w:val="18"/>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entitled to a share in consequence of the death or bankruptcy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or winding-up of a Member and to each of the Directors and</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54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the Auditors.</w:t>
            </w:r>
          </w:p>
        </w:tc>
      </w:tr>
      <w:tr>
        <w:trPr>
          <w:trHeight w:val="264"/>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58(3)</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Nil</w:t>
            </w:r>
          </w:p>
        </w:tc>
        <w:tc>
          <w:tcPr>
            <w:tcW w:w="80" w:type="dxa"/>
            <w:vAlign w:val="bottom"/>
          </w:tcPr>
          <w:p>
            <w:pPr>
              <w:spacing w:after="0"/>
              <w:rPr>
                <w:sz w:val="22"/>
                <w:szCs w:val="22"/>
                <w:color w:val="auto"/>
              </w:rPr>
            </w:pPr>
          </w:p>
        </w:tc>
        <w:tc>
          <w:tcPr>
            <w:tcW w:w="454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The notice of any general meeting at which Communication</w:t>
            </w: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120" w:type="dxa"/>
            <w:vAlign w:val="bottom"/>
            <w:tcBorders>
              <w:top w:val="single" w:sz="8" w:color="auto"/>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Facilities will be utilised (including any Virtual Meeting)</w:t>
            </w:r>
          </w:p>
        </w:tc>
        <w:tc>
          <w:tcPr>
            <w:tcW w:w="200" w:type="dxa"/>
            <w:vAlign w:val="bottom"/>
            <w:tcBorders>
              <w:top w:val="single" w:sz="8" w:color="auto"/>
            </w:tcBorders>
          </w:tcPr>
          <w:p>
            <w:pPr>
              <w:spacing w:after="0"/>
              <w:rPr>
                <w:sz w:val="17"/>
                <w:szCs w:val="17"/>
                <w:color w:val="auto"/>
              </w:rPr>
            </w:pPr>
          </w:p>
        </w:tc>
        <w:tc>
          <w:tcPr>
            <w:tcW w:w="220" w:type="dxa"/>
            <w:vAlign w:val="bottom"/>
            <w:tcBorders>
              <w:right w:val="single" w:sz="8" w:color="auto"/>
            </w:tcBorders>
            <w:gridSpan w:val="2"/>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shall specify the Communication Facilities that will be</w:t>
            </w:r>
          </w:p>
        </w:tc>
        <w:tc>
          <w:tcPr>
            <w:tcW w:w="600" w:type="dxa"/>
            <w:vAlign w:val="bottom"/>
            <w:tcBorders>
              <w:right w:val="single" w:sz="8" w:color="auto"/>
            </w:tcBorders>
            <w:gridSpan w:val="7"/>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utilised, including the procedures to be followed by any</w:t>
            </w:r>
          </w:p>
        </w:tc>
        <w:tc>
          <w:tcPr>
            <w:tcW w:w="520" w:type="dxa"/>
            <w:vAlign w:val="bottom"/>
            <w:tcBorders>
              <w:right w:val="single" w:sz="8" w:color="auto"/>
            </w:tcBorders>
            <w:gridSpan w:val="5"/>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54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Member or other participant of the general meeting who</w:t>
            </w: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40" w:type="dxa"/>
            <w:vAlign w:val="bottom"/>
            <w:tcBorders>
              <w:top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wishes to utilise such Communication Facilities for the</w:t>
            </w:r>
          </w:p>
        </w:tc>
        <w:tc>
          <w:tcPr>
            <w:tcW w:w="500" w:type="dxa"/>
            <w:vAlign w:val="bottom"/>
            <w:tcBorders>
              <w:right w:val="single" w:sz="8" w:color="auto"/>
            </w:tcBorders>
            <w:gridSpan w:val="4"/>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960" w:type="dxa"/>
            <w:vAlign w:val="bottom"/>
            <w:tcBorders>
              <w:top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purpose of attending, participating and voting at such</w:t>
            </w:r>
          </w:p>
        </w:tc>
        <w:tc>
          <w:tcPr>
            <w:tcW w:w="580" w:type="dxa"/>
            <w:vAlign w:val="bottom"/>
            <w:tcBorders>
              <w:right w:val="single" w:sz="8" w:color="auto"/>
            </w:tcBorders>
            <w:gridSpan w:val="6"/>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tcBorders>
              <w:top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meeting.</w:t>
            </w:r>
          </w:p>
        </w:tc>
        <w:tc>
          <w:tcPr>
            <w:tcW w:w="700" w:type="dxa"/>
            <w:vAlign w:val="bottom"/>
            <w:tcBorders>
              <w:right w:val="single" w:sz="8" w:color="auto"/>
            </w:tcBorders>
            <w:gridSpan w:val="8"/>
          </w:tcPr>
          <w:p>
            <w:pPr>
              <w:spacing w:after="0"/>
              <w:rPr>
                <w:sz w:val="17"/>
                <w:szCs w:val="17"/>
                <w:color w:val="auto"/>
              </w:rPr>
            </w:pP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358"/>
        </w:trPr>
        <w:tc>
          <w:tcPr>
            <w:tcW w:w="1680" w:type="dxa"/>
            <w:vAlign w:val="bottom"/>
          </w:tcPr>
          <w:p>
            <w:pPr>
              <w:spacing w:after="0"/>
              <w:rPr>
                <w:sz w:val="24"/>
                <w:szCs w:val="24"/>
                <w:color w:val="auto"/>
              </w:rPr>
            </w:pPr>
          </w:p>
        </w:tc>
        <w:tc>
          <w:tcPr>
            <w:tcW w:w="47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3240" w:type="dxa"/>
            <w:vAlign w:val="bottom"/>
            <w:tcBorders>
              <w:top w:val="single" w:sz="8" w:color="auto"/>
              <w:bottom w:val="single" w:sz="8" w:color="auto"/>
              <w:right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60</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 business other than the appointment of a chairman of a</w:t>
            </w:r>
          </w:p>
        </w:tc>
        <w:tc>
          <w:tcPr>
            <w:tcW w:w="80" w:type="dxa"/>
            <w:vAlign w:val="bottom"/>
          </w:tcPr>
          <w:p>
            <w:pPr>
              <w:spacing w:after="0"/>
              <w:rPr>
                <w:sz w:val="24"/>
                <w:szCs w:val="24"/>
                <w:color w:val="auto"/>
              </w:rPr>
            </w:pPr>
          </w:p>
        </w:tc>
        <w:tc>
          <w:tcPr>
            <w:tcW w:w="454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No business other than the appointment of a chairman of a</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meeting shall be transacted at any general meeting unless a</w:t>
            </w:r>
          </w:p>
        </w:tc>
        <w:tc>
          <w:tcPr>
            <w:tcW w:w="80" w:type="dxa"/>
            <w:vAlign w:val="bottom"/>
          </w:tcPr>
          <w:p>
            <w:pPr>
              <w:spacing w:after="0"/>
              <w:rPr>
                <w:sz w:val="18"/>
                <w:szCs w:val="18"/>
                <w:color w:val="auto"/>
              </w:rPr>
            </w:pPr>
          </w:p>
        </w:tc>
        <w:tc>
          <w:tcPr>
            <w:tcW w:w="454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meeting shall be transacted at any general meeting unless a</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w w:val="99"/>
              </w:rPr>
              <w:t>quorum is present at the commencement of the business. At any</w:t>
            </w:r>
          </w:p>
        </w:tc>
        <w:tc>
          <w:tcPr>
            <w:tcW w:w="80" w:type="dxa"/>
            <w:vAlign w:val="bottom"/>
          </w:tcPr>
          <w:p>
            <w:pPr>
              <w:spacing w:after="0"/>
              <w:rPr>
                <w:sz w:val="16"/>
                <w:szCs w:val="16"/>
                <w:color w:val="auto"/>
              </w:rPr>
            </w:pPr>
          </w:p>
        </w:tc>
        <w:tc>
          <w:tcPr>
            <w:tcW w:w="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quorum is</w:t>
            </w:r>
          </w:p>
        </w:tc>
        <w:tc>
          <w:tcPr>
            <w:tcW w:w="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strike w:val="1"/>
                <w:w w:val="96"/>
              </w:rPr>
              <w:t>present</w:t>
            </w:r>
          </w:p>
        </w:tc>
        <w:tc>
          <w:tcPr>
            <w:tcW w:w="3240" w:type="dxa"/>
            <w:vAlign w:val="bottom"/>
            <w:tcBorders>
              <w:right w:val="single" w:sz="8" w:color="auto"/>
            </w:tcBorders>
            <w:gridSpan w:val="9"/>
          </w:tcPr>
          <w:p>
            <w:pPr>
              <w:spacing w:after="0" w:line="194" w:lineRule="exact"/>
              <w:rPr>
                <w:sz w:val="20"/>
                <w:szCs w:val="20"/>
                <w:color w:val="auto"/>
              </w:rPr>
            </w:pPr>
            <w:r>
              <w:rPr>
                <w:rFonts w:ascii="Times New Roman" w:cs="Times New Roman" w:eastAsia="Times New Roman" w:hAnsi="Times New Roman"/>
                <w:sz w:val="18"/>
                <w:szCs w:val="18"/>
                <w:color w:val="auto"/>
              </w:rPr>
              <w:t>Present at the commencement of the</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general meeting of the Company, one or more Members entitled</w:t>
            </w:r>
          </w:p>
        </w:tc>
        <w:tc>
          <w:tcPr>
            <w:tcW w:w="80" w:type="dxa"/>
            <w:vAlign w:val="bottom"/>
          </w:tcPr>
          <w:p>
            <w:pPr>
              <w:spacing w:after="0"/>
              <w:rPr>
                <w:sz w:val="18"/>
                <w:szCs w:val="18"/>
                <w:color w:val="auto"/>
              </w:rPr>
            </w:pPr>
          </w:p>
        </w:tc>
        <w:tc>
          <w:tcPr>
            <w:tcW w:w="454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business. At any general meeting of the Company, one or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vote and present in person or by proxy or (in the case of a</w:t>
            </w:r>
          </w:p>
        </w:tc>
        <w:tc>
          <w:tcPr>
            <w:tcW w:w="80" w:type="dxa"/>
            <w:vAlign w:val="bottom"/>
          </w:tcPr>
          <w:p>
            <w:pPr>
              <w:spacing w:after="0"/>
              <w:rPr>
                <w:sz w:val="18"/>
                <w:szCs w:val="18"/>
                <w:color w:val="auto"/>
              </w:rPr>
            </w:pPr>
          </w:p>
        </w:tc>
        <w:tc>
          <w:tcPr>
            <w:tcW w:w="2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more Members entitled to vote and</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strike w:val="1"/>
                <w:w w:val="98"/>
              </w:rPr>
              <w:t>present in person or by</w:t>
            </w:r>
          </w:p>
        </w:tc>
        <w:tc>
          <w:tcPr>
            <w:tcW w:w="30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Member being a corporation) by its duly authorised</w:t>
            </w:r>
          </w:p>
        </w:tc>
        <w:tc>
          <w:tcPr>
            <w:tcW w:w="80" w:type="dxa"/>
            <w:vAlign w:val="bottom"/>
          </w:tcPr>
          <w:p>
            <w:pPr>
              <w:spacing w:after="0"/>
              <w:rPr>
                <w:sz w:val="18"/>
                <w:szCs w:val="18"/>
                <w:color w:val="auto"/>
              </w:rPr>
            </w:pPr>
          </w:p>
        </w:tc>
        <w:tc>
          <w:tcPr>
            <w:tcW w:w="454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strike w:val="1"/>
              </w:rPr>
              <w:t>proxy or (in the case of a Member being a corporation) by its</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representative representing not less than ten percent (10%) of</w:t>
            </w:r>
          </w:p>
        </w:tc>
        <w:tc>
          <w:tcPr>
            <w:tcW w:w="80" w:type="dxa"/>
            <w:vAlign w:val="bottom"/>
          </w:tcPr>
          <w:p>
            <w:pPr>
              <w:spacing w:after="0"/>
              <w:rPr>
                <w:sz w:val="16"/>
                <w:szCs w:val="16"/>
                <w:color w:val="auto"/>
              </w:rPr>
            </w:pPr>
          </w:p>
        </w:tc>
        <w:tc>
          <w:tcPr>
            <w:tcW w:w="218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auto"/>
                <w:strike w:val="1"/>
                <w:w w:val="99"/>
              </w:rPr>
              <w:t>duly authorised representative</w:t>
            </w:r>
          </w:p>
        </w:tc>
        <w:tc>
          <w:tcPr>
            <w:tcW w:w="2360" w:type="dxa"/>
            <w:vAlign w:val="bottom"/>
            <w:tcBorders>
              <w:right w:val="single" w:sz="8" w:color="auto"/>
            </w:tcBorders>
            <w:gridSpan w:val="5"/>
          </w:tcPr>
          <w:p>
            <w:pPr>
              <w:jc w:val="right"/>
              <w:ind w:right="320"/>
              <w:spacing w:after="0" w:line="194" w:lineRule="exact"/>
              <w:rPr>
                <w:sz w:val="20"/>
                <w:szCs w:val="20"/>
                <w:color w:val="auto"/>
              </w:rPr>
            </w:pPr>
            <w:r>
              <w:rPr>
                <w:rFonts w:ascii="Times New Roman" w:cs="Times New Roman" w:eastAsia="Times New Roman" w:hAnsi="Times New Roman"/>
                <w:sz w:val="18"/>
                <w:szCs w:val="18"/>
                <w:color w:val="auto"/>
                <w:w w:val="98"/>
              </w:rPr>
              <w:t>Present representing not less</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voting rights represented by the issued and outstanding</w:t>
            </w:r>
          </w:p>
        </w:tc>
        <w:tc>
          <w:tcPr>
            <w:tcW w:w="80" w:type="dxa"/>
            <w:vAlign w:val="bottom"/>
          </w:tcPr>
          <w:p>
            <w:pPr>
              <w:spacing w:after="0"/>
              <w:rPr>
                <w:sz w:val="18"/>
                <w:szCs w:val="18"/>
                <w:color w:val="auto"/>
              </w:rPr>
            </w:pPr>
          </w:p>
        </w:tc>
        <w:tc>
          <w:tcPr>
            <w:tcW w:w="454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than ten percent (10%) of the voting rights represented by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voting shares in the Company throughout the meeting shall</w:t>
            </w:r>
          </w:p>
        </w:tc>
        <w:tc>
          <w:tcPr>
            <w:tcW w:w="80" w:type="dxa"/>
            <w:vAlign w:val="bottom"/>
          </w:tcPr>
          <w:p>
            <w:pPr>
              <w:spacing w:after="0"/>
              <w:rPr>
                <w:sz w:val="18"/>
                <w:szCs w:val="18"/>
                <w:color w:val="auto"/>
              </w:rPr>
            </w:pPr>
          </w:p>
        </w:tc>
        <w:tc>
          <w:tcPr>
            <w:tcW w:w="454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issued and outstanding voting shares in the Company</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form a quorum for all purposes.</w:t>
            </w:r>
          </w:p>
        </w:tc>
        <w:tc>
          <w:tcPr>
            <w:tcW w:w="80" w:type="dxa"/>
            <w:vAlign w:val="bottom"/>
            <w:tcBorders>
              <w:bottom w:val="single" w:sz="8" w:color="auto"/>
            </w:tcBorders>
          </w:tcPr>
          <w:p>
            <w:pPr>
              <w:spacing w:after="0"/>
              <w:rPr>
                <w:sz w:val="20"/>
                <w:szCs w:val="20"/>
                <w:color w:val="auto"/>
              </w:rPr>
            </w:pPr>
          </w:p>
        </w:tc>
        <w:tc>
          <w:tcPr>
            <w:tcW w:w="4540" w:type="dxa"/>
            <w:vAlign w:val="bottom"/>
            <w:tcBorders>
              <w:bottom w:val="single" w:sz="8" w:color="auto"/>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throughout the meeting shall form a quorum for all purposes.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61</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If within thirty (30) minutes (or such longer time not exceeding</w:t>
            </w:r>
          </w:p>
        </w:tc>
        <w:tc>
          <w:tcPr>
            <w:tcW w:w="80" w:type="dxa"/>
            <w:vAlign w:val="bottom"/>
          </w:tcPr>
          <w:p>
            <w:pPr>
              <w:spacing w:after="0"/>
              <w:rPr>
                <w:sz w:val="24"/>
                <w:szCs w:val="24"/>
                <w:color w:val="auto"/>
              </w:rPr>
            </w:pPr>
          </w:p>
        </w:tc>
        <w:tc>
          <w:tcPr>
            <w:tcW w:w="454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If within thirty (30) minutes (or such longer time not</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one hour as the chairman of the meeting may determine to wait)</w:t>
            </w:r>
          </w:p>
        </w:tc>
        <w:tc>
          <w:tcPr>
            <w:tcW w:w="80" w:type="dxa"/>
            <w:vAlign w:val="bottom"/>
          </w:tcPr>
          <w:p>
            <w:pPr>
              <w:spacing w:after="0"/>
              <w:rPr>
                <w:sz w:val="18"/>
                <w:szCs w:val="18"/>
                <w:color w:val="auto"/>
              </w:rPr>
            </w:pPr>
          </w:p>
        </w:tc>
        <w:tc>
          <w:tcPr>
            <w:tcW w:w="454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exceeding one hour as the chairman of the meeting may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after the time appointed for the meeting a quorum is not</w:t>
            </w:r>
          </w:p>
        </w:tc>
        <w:tc>
          <w:tcPr>
            <w:tcW w:w="80" w:type="dxa"/>
            <w:vAlign w:val="bottom"/>
          </w:tcPr>
          <w:p>
            <w:pPr>
              <w:spacing w:after="0"/>
              <w:rPr>
                <w:sz w:val="18"/>
                <w:szCs w:val="18"/>
                <w:color w:val="auto"/>
              </w:rPr>
            </w:pPr>
          </w:p>
        </w:tc>
        <w:tc>
          <w:tcPr>
            <w:tcW w:w="454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determine to wait) after the time appointed for the meeting a</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present, the meeting shall stand adjourned to the same day in</w:t>
            </w:r>
          </w:p>
        </w:tc>
        <w:tc>
          <w:tcPr>
            <w:tcW w:w="80" w:type="dxa"/>
            <w:vAlign w:val="bottom"/>
          </w:tcPr>
          <w:p>
            <w:pPr>
              <w:spacing w:after="0"/>
              <w:rPr>
                <w:sz w:val="16"/>
                <w:szCs w:val="16"/>
                <w:color w:val="auto"/>
              </w:rPr>
            </w:pPr>
          </w:p>
        </w:tc>
        <w:tc>
          <w:tcPr>
            <w:tcW w:w="10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quorum is not</w:t>
            </w:r>
          </w:p>
        </w:tc>
        <w:tc>
          <w:tcPr>
            <w:tcW w:w="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strike w:val="1"/>
                <w:w w:val="96"/>
              </w:rPr>
              <w:t>present</w:t>
            </w:r>
          </w:p>
        </w:tc>
        <w:tc>
          <w:tcPr>
            <w:tcW w:w="2980" w:type="dxa"/>
            <w:vAlign w:val="bottom"/>
            <w:tcBorders>
              <w:right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Present, the meeting shall stand</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next week at the same time and place or to such time and</w:t>
            </w:r>
          </w:p>
        </w:tc>
        <w:tc>
          <w:tcPr>
            <w:tcW w:w="80" w:type="dxa"/>
            <w:vAlign w:val="bottom"/>
          </w:tcPr>
          <w:p>
            <w:pPr>
              <w:spacing w:after="0"/>
              <w:rPr>
                <w:sz w:val="18"/>
                <w:szCs w:val="18"/>
                <w:color w:val="auto"/>
              </w:rPr>
            </w:pPr>
          </w:p>
        </w:tc>
        <w:tc>
          <w:tcPr>
            <w:tcW w:w="454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adjourned to the same day in the next week at the same time</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place as the Board may determine. If at such adjourned meeting</w:t>
            </w:r>
          </w:p>
        </w:tc>
        <w:tc>
          <w:tcPr>
            <w:tcW w:w="80" w:type="dxa"/>
            <w:vAlign w:val="bottom"/>
          </w:tcPr>
          <w:p>
            <w:pPr>
              <w:spacing w:after="0"/>
              <w:rPr>
                <w:sz w:val="16"/>
                <w:szCs w:val="16"/>
                <w:color w:val="auto"/>
              </w:rPr>
            </w:pPr>
          </w:p>
        </w:tc>
        <w:tc>
          <w:tcPr>
            <w:tcW w:w="4540" w:type="dxa"/>
            <w:vAlign w:val="bottom"/>
            <w:tcBorders>
              <w:right w:val="single" w:sz="8" w:color="auto"/>
            </w:tcBorders>
            <w:gridSpan w:val="14"/>
          </w:tcPr>
          <w:p>
            <w:pPr>
              <w:spacing w:after="0" w:line="194" w:lineRule="exact"/>
              <w:rPr>
                <w:sz w:val="20"/>
                <w:szCs w:val="20"/>
                <w:color w:val="auto"/>
              </w:rPr>
            </w:pPr>
            <w:r>
              <w:rPr>
                <w:rFonts w:ascii="Times New Roman" w:cs="Times New Roman" w:eastAsia="Times New Roman" w:hAnsi="Times New Roman"/>
                <w:sz w:val="18"/>
                <w:szCs w:val="18"/>
                <w:color w:val="auto"/>
              </w:rPr>
              <w:t>and place or to such time and place (which, in the case of a</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a quorum is not present within half an hour from the time</w:t>
            </w:r>
          </w:p>
        </w:tc>
        <w:tc>
          <w:tcPr>
            <w:tcW w:w="80" w:type="dxa"/>
            <w:vAlign w:val="bottom"/>
          </w:tcPr>
          <w:p>
            <w:pPr>
              <w:spacing w:after="0"/>
              <w:rPr>
                <w:sz w:val="17"/>
                <w:szCs w:val="17"/>
                <w:color w:val="auto"/>
              </w:rPr>
            </w:pPr>
          </w:p>
        </w:tc>
        <w:tc>
          <w:tcPr>
            <w:tcW w:w="454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rPr>
              <w:t>Virtual Meeting, includes a virtual place) as the Board may</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60" w:type="dxa"/>
            <w:vAlign w:val="bottom"/>
            <w:gridSpan w:val="8"/>
            <w:shd w:val="clear" w:color="auto" w:fill="000000"/>
          </w:tcPr>
          <w:p>
            <w:pPr>
              <w:spacing w:after="0" w:line="20" w:lineRule="exact"/>
              <w:rPr>
                <w:sz w:val="1"/>
                <w:szCs w:val="1"/>
                <w:color w:val="auto"/>
              </w:rPr>
            </w:pPr>
          </w:p>
        </w:tc>
        <w:tc>
          <w:tcPr>
            <w:tcW w:w="1580" w:type="dxa"/>
            <w:vAlign w:val="bottom"/>
            <w:tcBorders>
              <w:right w:val="single" w:sz="8" w:color="auto"/>
            </w:tcBorders>
            <w:gridSpan w:val="2"/>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appointed for holding the meeting, the meeting shall be</w:t>
            </w:r>
          </w:p>
        </w:tc>
        <w:tc>
          <w:tcPr>
            <w:tcW w:w="80" w:type="dxa"/>
            <w:vAlign w:val="bottom"/>
          </w:tcPr>
          <w:p>
            <w:pPr>
              <w:spacing w:after="0"/>
              <w:rPr>
                <w:sz w:val="18"/>
                <w:szCs w:val="18"/>
                <w:color w:val="auto"/>
              </w:rPr>
            </w:pPr>
          </w:p>
        </w:tc>
        <w:tc>
          <w:tcPr>
            <w:tcW w:w="454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determine. If at such adjourned meeting a quorum is not</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dissolved.</w:t>
            </w:r>
          </w:p>
        </w:tc>
        <w:tc>
          <w:tcPr>
            <w:tcW w:w="8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strike w:val="1"/>
                <w:w w:val="96"/>
              </w:rPr>
              <w:t>present</w:t>
            </w:r>
          </w:p>
        </w:tc>
        <w:tc>
          <w:tcPr>
            <w:tcW w:w="4020" w:type="dxa"/>
            <w:vAlign w:val="bottom"/>
            <w:tcBorders>
              <w:right w:val="single" w:sz="8" w:color="auto"/>
            </w:tcBorders>
            <w:gridSpan w:val="13"/>
          </w:tcPr>
          <w:p>
            <w:pPr>
              <w:spacing w:after="0" w:line="194" w:lineRule="exact"/>
              <w:rPr>
                <w:sz w:val="20"/>
                <w:szCs w:val="20"/>
                <w:color w:val="auto"/>
              </w:rPr>
            </w:pPr>
            <w:r>
              <w:rPr>
                <w:rFonts w:ascii="Times New Roman" w:cs="Times New Roman" w:eastAsia="Times New Roman" w:hAnsi="Times New Roman"/>
                <w:sz w:val="18"/>
                <w:szCs w:val="18"/>
                <w:color w:val="auto"/>
              </w:rPr>
              <w:t>Present within half an hour from the time appointed</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440" w:type="dxa"/>
            <w:vAlign w:val="bottom"/>
            <w:tcBorders>
              <w:right w:val="single" w:sz="8" w:color="auto"/>
            </w:tcBorders>
            <w:gridSpan w:val="10"/>
          </w:tcPr>
          <w:p>
            <w:pPr>
              <w:spacing w:after="0" w:line="20" w:lineRule="exact"/>
              <w:rPr>
                <w:sz w:val="1"/>
                <w:szCs w:val="1"/>
                <w:color w:val="auto"/>
              </w:rPr>
            </w:pPr>
          </w:p>
        </w:tc>
      </w:tr>
      <w:tr>
        <w:trPr>
          <w:trHeight w:val="237"/>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540" w:type="dxa"/>
            <w:vAlign w:val="bottom"/>
            <w:tcBorders>
              <w:bottom w:val="single" w:sz="8" w:color="auto"/>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for holding the meeting, the meeting shall be dissolved.</w:t>
            </w:r>
          </w:p>
        </w:tc>
      </w:tr>
      <w:tr>
        <w:trPr>
          <w:trHeight w:val="358"/>
        </w:trPr>
        <w:tc>
          <w:tcPr>
            <w:tcW w:w="1680" w:type="dxa"/>
            <w:vAlign w:val="bottom"/>
          </w:tcPr>
          <w:p>
            <w:pPr>
              <w:spacing w:after="0"/>
              <w:rPr>
                <w:sz w:val="24"/>
                <w:szCs w:val="24"/>
                <w:color w:val="auto"/>
              </w:rPr>
            </w:pPr>
          </w:p>
        </w:tc>
        <w:tc>
          <w:tcPr>
            <w:tcW w:w="47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040" w:type="dxa"/>
            <w:vAlign w:val="bottom"/>
            <w:tcBorders>
              <w:top w:val="single" w:sz="8" w:color="auto"/>
              <w:bottom w:val="single" w:sz="8" w:color="auto"/>
              <w:right w:val="single" w:sz="8" w:color="auto"/>
            </w:tcBorders>
            <w:gridSpan w:val="12"/>
          </w:tcPr>
          <w:p>
            <w:pPr>
              <w:jc w:val="right"/>
              <w:ind w:right="158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62</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chairman of the Company shall preside as chairman at</w:t>
            </w:r>
          </w:p>
        </w:tc>
        <w:tc>
          <w:tcPr>
            <w:tcW w:w="80" w:type="dxa"/>
            <w:vAlign w:val="bottom"/>
          </w:tcPr>
          <w:p>
            <w:pPr>
              <w:spacing w:after="0"/>
              <w:rPr>
                <w:sz w:val="24"/>
                <w:szCs w:val="24"/>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The chairman of the Company shall preside as chairman at</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every general meeting. If at any meeting the chairman is not</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every general meeting. If at any meeting the chairman is not</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present within fifteen (15) minutes after the time appointed for</w:t>
            </w:r>
          </w:p>
        </w:tc>
        <w:tc>
          <w:tcPr>
            <w:tcW w:w="8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strike w:val="1"/>
                <w:w w:val="96"/>
              </w:rPr>
              <w:t>present</w:t>
            </w:r>
          </w:p>
        </w:tc>
        <w:tc>
          <w:tcPr>
            <w:tcW w:w="4020" w:type="dxa"/>
            <w:vAlign w:val="bottom"/>
            <w:tcBorders>
              <w:right w:val="single" w:sz="8" w:color="auto"/>
            </w:tcBorders>
            <w:gridSpan w:val="17"/>
          </w:tcPr>
          <w:p>
            <w:pPr>
              <w:jc w:val="right"/>
              <w:ind w:right="500"/>
              <w:spacing w:after="0" w:line="194" w:lineRule="exact"/>
              <w:rPr>
                <w:sz w:val="20"/>
                <w:szCs w:val="20"/>
                <w:color w:val="auto"/>
              </w:rPr>
            </w:pPr>
            <w:r>
              <w:rPr>
                <w:rFonts w:ascii="Times New Roman" w:cs="Times New Roman" w:eastAsia="Times New Roman" w:hAnsi="Times New Roman"/>
                <w:sz w:val="18"/>
                <w:szCs w:val="18"/>
                <w:color w:val="auto"/>
                <w:w w:val="99"/>
              </w:rPr>
              <w:t>Present within fifteen (15) minutes after the time</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holding the meeting, or is not willing to act as chairman, the</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appointed for holding the meeting, or is not willing to act as</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Directors present shall, subject to Article 124(3), choose one of</w:t>
            </w:r>
          </w:p>
        </w:tc>
        <w:tc>
          <w:tcPr>
            <w:tcW w:w="80" w:type="dxa"/>
            <w:vAlign w:val="bottom"/>
          </w:tcPr>
          <w:p>
            <w:pPr>
              <w:spacing w:after="0"/>
              <w:rPr>
                <w:sz w:val="16"/>
                <w:szCs w:val="16"/>
                <w:color w:val="auto"/>
              </w:rPr>
            </w:pPr>
          </w:p>
        </w:tc>
        <w:tc>
          <w:tcPr>
            <w:tcW w:w="17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chairman, the Directors</w:t>
            </w:r>
          </w:p>
        </w:tc>
        <w:tc>
          <w:tcPr>
            <w:tcW w:w="5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strike w:val="1"/>
                <w:w w:val="96"/>
              </w:rPr>
              <w:t>present</w:t>
            </w:r>
          </w:p>
        </w:tc>
        <w:tc>
          <w:tcPr>
            <w:tcW w:w="2280" w:type="dxa"/>
            <w:vAlign w:val="bottom"/>
            <w:tcBorders>
              <w:right w:val="single" w:sz="8" w:color="auto"/>
            </w:tcBorders>
            <w:gridSpan w:val="5"/>
          </w:tcPr>
          <w:p>
            <w:pPr>
              <w:jc w:val="right"/>
              <w:ind w:right="580"/>
              <w:spacing w:after="0" w:line="194" w:lineRule="exact"/>
              <w:rPr>
                <w:sz w:val="20"/>
                <w:szCs w:val="20"/>
                <w:color w:val="auto"/>
              </w:rPr>
            </w:pPr>
            <w:r>
              <w:rPr>
                <w:rFonts w:ascii="Times New Roman" w:cs="Times New Roman" w:eastAsia="Times New Roman" w:hAnsi="Times New Roman"/>
                <w:sz w:val="18"/>
                <w:szCs w:val="18"/>
                <w:color w:val="auto"/>
                <w:w w:val="98"/>
              </w:rPr>
              <w:t>Present shall, subject to</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their number to act, or if one Director only is present he shall</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Article 124(3), choose one of their number to act, or if one</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preside as chairman if willing to act. If no Director is present,</w:t>
            </w:r>
          </w:p>
        </w:tc>
        <w:tc>
          <w:tcPr>
            <w:tcW w:w="80" w:type="dxa"/>
            <w:vAlign w:val="bottom"/>
          </w:tcPr>
          <w:p>
            <w:pPr>
              <w:spacing w:after="0"/>
              <w:rPr>
                <w:sz w:val="16"/>
                <w:szCs w:val="16"/>
                <w:color w:val="auto"/>
              </w:rPr>
            </w:pPr>
          </w:p>
        </w:tc>
        <w:tc>
          <w:tcPr>
            <w:tcW w:w="11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Director only is</w:t>
            </w:r>
          </w:p>
        </w:tc>
        <w:tc>
          <w:tcPr>
            <w:tcW w:w="5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strike w:val="1"/>
                <w:w w:val="96"/>
              </w:rPr>
              <w:t>present</w:t>
            </w:r>
          </w:p>
        </w:tc>
        <w:tc>
          <w:tcPr>
            <w:tcW w:w="2820" w:type="dxa"/>
            <w:vAlign w:val="bottom"/>
            <w:tcBorders>
              <w:right w:val="single" w:sz="8" w:color="auto"/>
            </w:tcBorders>
            <w:gridSpan w:val="11"/>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w w:val="98"/>
              </w:rPr>
              <w:t>Present he shall preside as chairman if</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or if each of the Directors present declines to take the chair, or</w:t>
            </w:r>
          </w:p>
        </w:tc>
        <w:tc>
          <w:tcPr>
            <w:tcW w:w="80" w:type="dxa"/>
            <w:vAlign w:val="bottom"/>
          </w:tcPr>
          <w:p>
            <w:pPr>
              <w:spacing w:after="0"/>
              <w:rPr>
                <w:sz w:val="17"/>
                <w:szCs w:val="17"/>
                <w:color w:val="auto"/>
              </w:rPr>
            </w:pPr>
          </w:p>
        </w:tc>
        <w:tc>
          <w:tcPr>
            <w:tcW w:w="22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willing to act. If no Director is</w:t>
            </w:r>
          </w:p>
        </w:tc>
        <w:tc>
          <w:tcPr>
            <w:tcW w:w="5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strike w:val="1"/>
                <w:w w:val="99"/>
              </w:rPr>
              <w:t>present</w:t>
            </w:r>
          </w:p>
        </w:tc>
        <w:tc>
          <w:tcPr>
            <w:tcW w:w="1740" w:type="dxa"/>
            <w:vAlign w:val="bottom"/>
            <w:tcBorders>
              <w:right w:val="single" w:sz="8" w:color="auto"/>
            </w:tcBorders>
            <w:gridSpan w:val="3"/>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w w:val="96"/>
              </w:rPr>
              <w:t>Present, or if each of</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if the chairman chosen shall retire from the chair, the Members</w:t>
            </w:r>
          </w:p>
        </w:tc>
        <w:tc>
          <w:tcPr>
            <w:tcW w:w="8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the Directors</w:t>
            </w: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strike w:val="1"/>
                <w:w w:val="96"/>
              </w:rPr>
              <w:t>present</w:t>
            </w:r>
          </w:p>
        </w:tc>
        <w:tc>
          <w:tcPr>
            <w:tcW w:w="3040" w:type="dxa"/>
            <w:vAlign w:val="bottom"/>
            <w:tcBorders>
              <w:right w:val="single" w:sz="8" w:color="auto"/>
            </w:tcBorders>
            <w:gridSpan w:val="1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w w:val="99"/>
              </w:rPr>
              <w:t>Present declines to take the chair, or if</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present in person or by proxy and entitled to vote shall elect one</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the chairman chosen shall retire from the chair, the Members</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of their number to be chairman.</w:t>
            </w:r>
          </w:p>
        </w:tc>
        <w:tc>
          <w:tcPr>
            <w:tcW w:w="80" w:type="dxa"/>
            <w:vAlign w:val="bottom"/>
          </w:tcPr>
          <w:p>
            <w:pPr>
              <w:spacing w:after="0"/>
              <w:rPr>
                <w:sz w:val="16"/>
                <w:szCs w:val="16"/>
                <w:color w:val="auto"/>
              </w:rPr>
            </w:pPr>
          </w:p>
        </w:tc>
        <w:tc>
          <w:tcPr>
            <w:tcW w:w="212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auto"/>
                <w:strike w:val="1"/>
                <w:w w:val="99"/>
              </w:rPr>
              <w:t>present in person or by proxy</w:t>
            </w:r>
          </w:p>
        </w:tc>
        <w:tc>
          <w:tcPr>
            <w:tcW w:w="2420" w:type="dxa"/>
            <w:vAlign w:val="bottom"/>
            <w:tcBorders>
              <w:right w:val="single" w:sz="8" w:color="auto"/>
            </w:tcBorders>
            <w:gridSpan w:val="8"/>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w w:val="98"/>
              </w:rPr>
              <w:t>Present and entitled to vote shall</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236"/>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54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elect one of their number to be chairman.</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63</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chairman may adjourn the meeting from time to time and</w:t>
            </w:r>
          </w:p>
        </w:tc>
        <w:tc>
          <w:tcPr>
            <w:tcW w:w="80" w:type="dxa"/>
            <w:vAlign w:val="bottom"/>
          </w:tcPr>
          <w:p>
            <w:pPr>
              <w:spacing w:after="0"/>
              <w:rPr>
                <w:sz w:val="24"/>
                <w:szCs w:val="24"/>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The chairman may adjourn the meeting from time to time and</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from place to place, but no business shall be transacted at any</w:t>
            </w:r>
          </w:p>
        </w:tc>
        <w:tc>
          <w:tcPr>
            <w:tcW w:w="80" w:type="dxa"/>
            <w:vAlign w:val="bottom"/>
          </w:tcPr>
          <w:p>
            <w:pPr>
              <w:spacing w:after="0"/>
              <w:rPr>
                <w:sz w:val="16"/>
                <w:szCs w:val="16"/>
                <w:color w:val="auto"/>
              </w:rPr>
            </w:pPr>
          </w:p>
        </w:tc>
        <w:tc>
          <w:tcPr>
            <w:tcW w:w="4540" w:type="dxa"/>
            <w:vAlign w:val="bottom"/>
            <w:tcBorders>
              <w:right w:val="single" w:sz="8" w:color="auto"/>
            </w:tcBorders>
            <w:gridSpan w:val="18"/>
          </w:tcPr>
          <w:p>
            <w:pPr>
              <w:spacing w:after="0" w:line="194" w:lineRule="exact"/>
              <w:rPr>
                <w:sz w:val="20"/>
                <w:szCs w:val="20"/>
                <w:color w:val="auto"/>
              </w:rPr>
            </w:pPr>
            <w:r>
              <w:rPr>
                <w:rFonts w:ascii="Times New Roman" w:cs="Times New Roman" w:eastAsia="Times New Roman" w:hAnsi="Times New Roman"/>
                <w:sz w:val="18"/>
                <w:szCs w:val="18"/>
                <w:color w:val="auto"/>
              </w:rPr>
              <w:t>from place to place (which, in the case of a Virtual Meeting,</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520" w:type="dxa"/>
            <w:vAlign w:val="bottom"/>
            <w:gridSpan w:val="5"/>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adjourned meeting other than the business which might</w:t>
            </w:r>
          </w:p>
        </w:tc>
        <w:tc>
          <w:tcPr>
            <w:tcW w:w="80" w:type="dxa"/>
            <w:vAlign w:val="bottom"/>
          </w:tcPr>
          <w:p>
            <w:pPr>
              <w:spacing w:after="0"/>
              <w:rPr>
                <w:sz w:val="17"/>
                <w:szCs w:val="17"/>
                <w:color w:val="auto"/>
              </w:rPr>
            </w:pPr>
          </w:p>
        </w:tc>
        <w:tc>
          <w:tcPr>
            <w:tcW w:w="4540" w:type="dxa"/>
            <w:vAlign w:val="bottom"/>
            <w:tcBorders>
              <w:right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rPr>
              <w:t>includes a virtual place), but no business shall be transacted at</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right w:val="single" w:sz="8" w:color="auto"/>
            </w:tcBorders>
            <w:gridSpan w:val="7"/>
            <w:shd w:val="clear" w:color="auto" w:fill="000000"/>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40" w:type="dxa"/>
            <w:vAlign w:val="bottom"/>
            <w:tcBorders>
              <w:right w:val="single" w:sz="8" w:color="auto"/>
            </w:tcBorders>
            <w:gridSpan w:val="3"/>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lawfully have been transacted at the meeting had the</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any adjourned meeting other than the business which might</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adjournment not taken place. When a meeting is adjourned for</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lawfully have been transacted at the meeting had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fourteen (14) days or more, at least seven (7) clear days’ notice</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adjournment not taken place. When a meeting is adjourned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the adjourned meeting shall be given specifying the time and</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for fourteen (14) days or more, at least seven (7) clear days’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place of the adjourned meeting but it shall not be necessary to</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notice of the adjourned meeting shall be given specifying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specify in such notice the nature of the business to be transacted</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time and place of the adjourned meeting but it shall not be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adjourned meeting and the general nature of the business</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necessary to specify in such notice the nature of the business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be transacted. Save as aforesaid, it shall be unnecessary to</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to be transacted at the adjourned meeting and the general</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give notice of an adjournment.</w:t>
            </w:r>
          </w:p>
        </w:tc>
        <w:tc>
          <w:tcPr>
            <w:tcW w:w="80" w:type="dxa"/>
            <w:vAlign w:val="bottom"/>
          </w:tcPr>
          <w:p>
            <w:pPr>
              <w:spacing w:after="0"/>
              <w:rPr>
                <w:sz w:val="18"/>
                <w:szCs w:val="18"/>
                <w:color w:val="auto"/>
              </w:rPr>
            </w:pPr>
          </w:p>
        </w:tc>
        <w:tc>
          <w:tcPr>
            <w:tcW w:w="4540" w:type="dxa"/>
            <w:vAlign w:val="bottom"/>
            <w:tcBorders>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nature of the business to be transacted. Save as aforesaid, it</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540" w:type="dxa"/>
            <w:vAlign w:val="bottom"/>
            <w:tcBorders>
              <w:bottom w:val="single" w:sz="8" w:color="auto"/>
              <w:right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shall be unnecessary to give notice of an adjournment.</w:t>
            </w:r>
          </w:p>
        </w:tc>
      </w:tr>
      <w:tr>
        <w:trPr>
          <w:trHeight w:val="358"/>
        </w:trPr>
        <w:tc>
          <w:tcPr>
            <w:tcW w:w="1680" w:type="dxa"/>
            <w:vAlign w:val="bottom"/>
          </w:tcPr>
          <w:p>
            <w:pPr>
              <w:spacing w:after="0"/>
              <w:rPr>
                <w:sz w:val="24"/>
                <w:szCs w:val="24"/>
                <w:color w:val="auto"/>
              </w:rPr>
            </w:pPr>
          </w:p>
        </w:tc>
        <w:tc>
          <w:tcPr>
            <w:tcW w:w="47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332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1420" w:type="dxa"/>
            <w:vAlign w:val="bottom"/>
            <w:tcBorders>
              <w:top w:val="single" w:sz="8" w:color="auto"/>
              <w:bottom w:val="single" w:sz="8" w:color="auto"/>
              <w:right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4180" w:type="dxa"/>
            <w:vAlign w:val="bottom"/>
            <w:tcBorders>
              <w:top w:val="single" w:sz="8" w:color="auto"/>
              <w:bottom w:val="single" w:sz="8" w:color="auto"/>
              <w:right w:val="single" w:sz="8" w:color="auto"/>
            </w:tcBorders>
            <w:gridSpan w:val="15"/>
          </w:tcPr>
          <w:p>
            <w:pPr>
              <w:ind w:left="116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63"/>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64A</w:t>
            </w: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Nil</w:t>
            </w:r>
          </w:p>
        </w:tc>
        <w:tc>
          <w:tcPr>
            <w:tcW w:w="14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54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The chairman of any general meeting shall be entitled to</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attend and participate at any such general meeting by means</w:t>
            </w:r>
          </w:p>
        </w:tc>
        <w:tc>
          <w:tcPr>
            <w:tcW w:w="200" w:type="dxa"/>
            <w:vAlign w:val="bottom"/>
            <w:tcBorders>
              <w:right w:val="single" w:sz="8" w:color="auto"/>
            </w:tcBorders>
            <w:gridSpan w:val="3"/>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of Communication Facilities, and to act as the chairman of</w:t>
            </w:r>
          </w:p>
        </w:tc>
        <w:tc>
          <w:tcPr>
            <w:tcW w:w="300" w:type="dxa"/>
            <w:vAlign w:val="bottom"/>
            <w:tcBorders>
              <w:right w:val="single" w:sz="8" w:color="auto"/>
            </w:tcBorders>
            <w:gridSpan w:val="7"/>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such general meeting, in which event the following</w:t>
            </w:r>
          </w:p>
        </w:tc>
        <w:tc>
          <w:tcPr>
            <w:tcW w:w="840" w:type="dxa"/>
            <w:vAlign w:val="bottom"/>
            <w:tcBorders>
              <w:right w:val="single" w:sz="8" w:color="auto"/>
            </w:tcBorders>
            <w:gridSpan w:val="12"/>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provisions shall apply:</w:t>
            </w:r>
          </w:p>
        </w:tc>
        <w:tc>
          <w:tcPr>
            <w:tcW w:w="2900" w:type="dxa"/>
            <w:vAlign w:val="bottom"/>
            <w:tcBorders>
              <w:right w:val="single" w:sz="8" w:color="auto"/>
            </w:tcBorders>
            <w:gridSpan w:val="14"/>
          </w:tcPr>
          <w:p>
            <w:pPr>
              <w:spacing w:after="0"/>
              <w:rPr>
                <w:sz w:val="17"/>
                <w:szCs w:val="17"/>
                <w:color w:val="auto"/>
              </w:rPr>
            </w:pPr>
          </w:p>
        </w:tc>
      </w:tr>
      <w:tr>
        <w:trPr>
          <w:trHeight w:val="304"/>
        </w:trPr>
        <w:tc>
          <w:tcPr>
            <w:tcW w:w="1680" w:type="dxa"/>
            <w:vAlign w:val="bottom"/>
            <w:tcBorders>
              <w:left w:val="single" w:sz="8" w:color="auto"/>
              <w:right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(1)    The chairman of the meeting shall be deemed to be</w:t>
            </w: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Present at the meeting; and</w:t>
            </w:r>
          </w:p>
        </w:tc>
        <w:tc>
          <w:tcPr>
            <w:tcW w:w="1740" w:type="dxa"/>
            <w:vAlign w:val="bottom"/>
            <w:tcBorders>
              <w:top w:val="single" w:sz="8" w:color="auto"/>
            </w:tcBorders>
            <w:gridSpan w:val="4"/>
          </w:tcPr>
          <w:p>
            <w:pPr>
              <w:spacing w:after="0"/>
              <w:rPr>
                <w:sz w:val="17"/>
                <w:szCs w:val="17"/>
                <w:color w:val="auto"/>
              </w:rPr>
            </w:pPr>
          </w:p>
        </w:tc>
        <w:tc>
          <w:tcPr>
            <w:tcW w:w="480" w:type="dxa"/>
            <w:vAlign w:val="bottom"/>
            <w:tcBorders>
              <w:right w:val="single" w:sz="8" w:color="auto"/>
            </w:tcBorders>
            <w:gridSpan w:val="9"/>
          </w:tcPr>
          <w:p>
            <w:pPr>
              <w:spacing w:after="0"/>
              <w:rPr>
                <w:sz w:val="17"/>
                <w:szCs w:val="17"/>
                <w:color w:val="auto"/>
              </w:rPr>
            </w:pPr>
          </w:p>
        </w:tc>
      </w:tr>
      <w:tr>
        <w:trPr>
          <w:trHeight w:val="304"/>
        </w:trPr>
        <w:tc>
          <w:tcPr>
            <w:tcW w:w="1680" w:type="dxa"/>
            <w:vAlign w:val="bottom"/>
            <w:tcBorders>
              <w:left w:val="single" w:sz="8" w:color="auto"/>
              <w:right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(2)    If the Communication Facilities are interrupted or fail</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50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80" w:type="dxa"/>
            <w:vAlign w:val="bottom"/>
            <w:tcBorders>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9"/>
              </w:rPr>
              <w:t>for any reason to enable the chairman of the meeting to</w:t>
            </w:r>
          </w:p>
        </w:tc>
        <w:tc>
          <w:tcPr>
            <w:tcW w:w="200" w:type="dxa"/>
            <w:vAlign w:val="bottom"/>
            <w:tcBorders>
              <w:right w:val="single" w:sz="8" w:color="auto"/>
            </w:tcBorders>
            <w:gridSpan w:val="3"/>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80" w:type="dxa"/>
            <w:vAlign w:val="bottom"/>
            <w:tcBorders>
              <w:right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rPr>
              <w:t>hear and be heard by all other Persons participating in</w:t>
            </w: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60" w:type="dxa"/>
            <w:vAlign w:val="bottom"/>
            <w:tcBorders>
              <w:top w:val="single" w:sz="8" w:color="auto"/>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the meeting, then the other Directors Present at the</w:t>
            </w:r>
          </w:p>
        </w:tc>
        <w:tc>
          <w:tcPr>
            <w:tcW w:w="220" w:type="dxa"/>
            <w:vAlign w:val="bottom"/>
            <w:tcBorders>
              <w:top w:val="single" w:sz="8" w:color="auto"/>
            </w:tcBorders>
            <w:gridSpan w:val="3"/>
          </w:tcPr>
          <w:p>
            <w:pPr>
              <w:spacing w:after="0"/>
              <w:rPr>
                <w:sz w:val="17"/>
                <w:szCs w:val="17"/>
                <w:color w:val="auto"/>
              </w:rPr>
            </w:pPr>
          </w:p>
        </w:tc>
        <w:tc>
          <w:tcPr>
            <w:tcW w:w="300" w:type="dxa"/>
            <w:vAlign w:val="bottom"/>
            <w:tcBorders>
              <w:right w:val="single" w:sz="8" w:color="auto"/>
            </w:tcBorders>
            <w:gridSpan w:val="7"/>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meeting shall choose another Director Present to act as</w:t>
            </w:r>
          </w:p>
        </w:tc>
        <w:tc>
          <w:tcPr>
            <w:tcW w:w="220" w:type="dxa"/>
            <w:vAlign w:val="bottom"/>
            <w:tcBorders>
              <w:right w:val="single" w:sz="8" w:color="auto"/>
            </w:tcBorders>
            <w:gridSpan w:val="4"/>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80" w:type="dxa"/>
            <w:vAlign w:val="bottom"/>
            <w:tcBorders>
              <w:right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rPr>
              <w:t>chairman of the meeting for the remainder of the</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00" w:type="dxa"/>
            <w:vAlign w:val="bottom"/>
            <w:gridSpan w:val="4"/>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Borders>
              <w:bottom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w w:val="99"/>
              </w:rPr>
              <w:t>meeting; provided that (a) if no other Director is Present</w:t>
            </w:r>
          </w:p>
        </w:tc>
        <w:tc>
          <w:tcPr>
            <w:tcW w:w="120" w:type="dxa"/>
            <w:vAlign w:val="bottom"/>
            <w:tcBorders>
              <w:right w:val="single" w:sz="8" w:color="auto"/>
            </w:tcBorders>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at the meeting, or (b) if all the Directors Present at the</w:t>
            </w:r>
          </w:p>
        </w:tc>
        <w:tc>
          <w:tcPr>
            <w:tcW w:w="280" w:type="dxa"/>
            <w:vAlign w:val="bottom"/>
            <w:tcBorders>
              <w:right w:val="single" w:sz="8" w:color="auto"/>
            </w:tcBorders>
            <w:gridSpan w:val="6"/>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2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meeting decline to take the chair, then the meeting shall</w:t>
            </w:r>
          </w:p>
        </w:tc>
        <w:tc>
          <w:tcPr>
            <w:tcW w:w="160" w:type="dxa"/>
            <w:vAlign w:val="bottom"/>
            <w:tcBorders>
              <w:right w:val="single" w:sz="8" w:color="auto"/>
            </w:tcBorders>
            <w:gridSpan w:val="2"/>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be automatically adjourned to the same day in the next</w:t>
            </w:r>
          </w:p>
        </w:tc>
        <w:tc>
          <w:tcPr>
            <w:tcW w:w="240" w:type="dxa"/>
            <w:vAlign w:val="bottom"/>
            <w:tcBorders>
              <w:right w:val="single" w:sz="8" w:color="auto"/>
            </w:tcBorders>
            <w:gridSpan w:val="5"/>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week and at such time and place (whether physical or</w:t>
            </w:r>
          </w:p>
        </w:tc>
        <w:tc>
          <w:tcPr>
            <w:tcW w:w="300" w:type="dxa"/>
            <w:vAlign w:val="bottom"/>
            <w:tcBorders>
              <w:right w:val="single" w:sz="8" w:color="auto"/>
            </w:tcBorders>
            <w:gridSpan w:val="7"/>
          </w:tcPr>
          <w:p>
            <w:pPr>
              <w:spacing w:after="0"/>
              <w:rPr>
                <w:sz w:val="17"/>
                <w:szCs w:val="17"/>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3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80" w:type="dxa"/>
            <w:vAlign w:val="bottom"/>
            <w:tcBorders>
              <w:right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rPr>
              <w:t>virtual) as shall be decided by the board of Directors.</w:t>
            </w: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358"/>
        </w:trPr>
        <w:tc>
          <w:tcPr>
            <w:tcW w:w="1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4620" w:type="dxa"/>
            <w:vAlign w:val="bottom"/>
            <w:tcBorders>
              <w:top w:val="single" w:sz="8" w:color="auto"/>
              <w:bottom w:val="single" w:sz="8" w:color="auto"/>
              <w:right w:val="single" w:sz="8" w:color="auto"/>
            </w:tcBorders>
            <w:gridSpan w:val="7"/>
          </w:tcPr>
          <w:p>
            <w:pPr>
              <w:ind w:left="160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65(2)</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Holders of Ordinary Shares shall at all times vote together as</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Holders of Ordinary Shares shall at all times vote together as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one class on all resolutions submitted to a vote by the Members.</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one class on all resolutions submitted to a vote by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any general meeting on a show of hands, subject to any</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Members. At any general meeting on a show of hands,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rights and restrictions for the time being attached to any share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subject to any rights and restrictions for the time being</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(including, for as long as the shares remain listed on the Hong</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attached to any share (including, for as long as the shares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Kong Stock Exchange, applicable rules under the Listing Rules</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remain listed on the Hong Kong Stock Exchange, applicable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(unless otherwise waived)), every Member holding Ordinary</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rules under the Listing Rules (unless otherwise waived)),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present in person (or being a corporation, is present by a</w:t>
            </w:r>
          </w:p>
        </w:tc>
        <w:tc>
          <w:tcPr>
            <w:tcW w:w="30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every Member holding Ordinary Shares</w:t>
            </w:r>
          </w:p>
        </w:tc>
        <w:tc>
          <w:tcPr>
            <w:tcW w:w="1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strike w:val="1"/>
              </w:rPr>
              <w:t>present in person (or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duly authorised representative), or by proxy shall have one vote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strike w:val="1"/>
              </w:rPr>
              <w:t>being a corporation, is present by a duly authorised</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w w:val="99"/>
              </w:rPr>
              <w:t>and on a poll every Member present in person or by proxy or, in</w:t>
            </w:r>
          </w:p>
        </w:tc>
        <w:tc>
          <w:tcPr>
            <w:tcW w:w="208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color w:val="auto"/>
                <w:strike w:val="1"/>
                <w:w w:val="99"/>
              </w:rPr>
              <w:t>representative), or by proxy</w:t>
            </w:r>
          </w:p>
        </w:tc>
        <w:tc>
          <w:tcPr>
            <w:tcW w:w="2540" w:type="dxa"/>
            <w:vAlign w:val="bottom"/>
            <w:tcBorders>
              <w:right w:val="single" w:sz="8" w:color="auto"/>
            </w:tcBorders>
            <w:gridSpan w:val="4"/>
          </w:tcPr>
          <w:p>
            <w:pPr>
              <w:jc w:val="center"/>
              <w:ind w:right="190"/>
              <w:spacing w:after="0" w:line="194" w:lineRule="exact"/>
              <w:rPr>
                <w:sz w:val="20"/>
                <w:szCs w:val="20"/>
                <w:color w:val="auto"/>
              </w:rPr>
            </w:pPr>
            <w:r>
              <w:rPr>
                <w:rFonts w:ascii="Times New Roman" w:cs="Times New Roman" w:eastAsia="Times New Roman" w:hAnsi="Times New Roman"/>
                <w:sz w:val="18"/>
                <w:szCs w:val="18"/>
                <w:color w:val="auto"/>
                <w:w w:val="99"/>
              </w:rPr>
              <w:t>Present shall have one vote and</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0" w:type="dxa"/>
            <w:vAlign w:val="bottom"/>
            <w:tcBorders>
              <w:right w:val="single" w:sz="8" w:color="auto"/>
            </w:tcBorders>
            <w:gridSpan w:val="2"/>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case of a Member being a corporation, by its duly</w:t>
            </w:r>
          </w:p>
        </w:tc>
        <w:tc>
          <w:tcPr>
            <w:tcW w:w="1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 a poll every Member</w:t>
            </w:r>
          </w:p>
        </w:tc>
        <w:tc>
          <w:tcPr>
            <w:tcW w:w="27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strike w:val="1"/>
              </w:rPr>
              <w:t>present in person or by proxy or, in</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authorised representative shall have one vote for every fully</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strike w:val="1"/>
              </w:rPr>
              <w:t>the case of a Member being a corporation, by its duly</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paid Ordinary Share of which he is the holder.</w:t>
            </w:r>
          </w:p>
        </w:tc>
        <w:tc>
          <w:tcPr>
            <w:tcW w:w="18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strike w:val="1"/>
                <w:w w:val="98"/>
              </w:rPr>
              <w:t>authorised representative</w:t>
            </w:r>
          </w:p>
        </w:tc>
        <w:tc>
          <w:tcPr>
            <w:tcW w:w="2740" w:type="dxa"/>
            <w:vAlign w:val="bottom"/>
            <w:tcBorders>
              <w:right w:val="single" w:sz="8" w:color="auto"/>
            </w:tcBorders>
            <w:gridSpan w:val="5"/>
          </w:tcPr>
          <w:p>
            <w:pPr>
              <w:jc w:val="center"/>
              <w:spacing w:after="0" w:line="194" w:lineRule="exact"/>
              <w:rPr>
                <w:sz w:val="20"/>
                <w:szCs w:val="20"/>
                <w:color w:val="auto"/>
              </w:rPr>
            </w:pPr>
            <w:r>
              <w:rPr>
                <w:rFonts w:ascii="Times New Roman" w:cs="Times New Roman" w:eastAsia="Times New Roman" w:hAnsi="Times New Roman"/>
                <w:sz w:val="18"/>
                <w:szCs w:val="18"/>
                <w:color w:val="auto"/>
              </w:rPr>
              <w:t>Present shall have one vote for every</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0" w:type="dxa"/>
            <w:vAlign w:val="bottom"/>
            <w:tcBorders>
              <w:right w:val="single" w:sz="8" w:color="auto"/>
            </w:tcBorders>
            <w:gridSpan w:val="3"/>
          </w:tcPr>
          <w:p>
            <w:pPr>
              <w:spacing w:after="0" w:line="20" w:lineRule="exact"/>
              <w:rPr>
                <w:sz w:val="1"/>
                <w:szCs w:val="1"/>
                <w:color w:val="auto"/>
              </w:rPr>
            </w:pPr>
          </w:p>
        </w:tc>
      </w:tr>
      <w:tr>
        <w:trPr>
          <w:trHeight w:val="236"/>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fully paid Ordinary Share of which he is the holder.</w:t>
            </w:r>
          </w:p>
        </w:tc>
      </w:tr>
      <w:tr>
        <w:trPr>
          <w:trHeight w:val="358"/>
        </w:trPr>
        <w:tc>
          <w:tcPr>
            <w:tcW w:w="1680" w:type="dxa"/>
            <w:vAlign w:val="bottom"/>
          </w:tcPr>
          <w:p>
            <w:pPr>
              <w:spacing w:after="0"/>
              <w:rPr>
                <w:sz w:val="24"/>
                <w:szCs w:val="24"/>
                <w:color w:val="auto"/>
              </w:rPr>
            </w:pPr>
          </w:p>
        </w:tc>
        <w:tc>
          <w:tcPr>
            <w:tcW w:w="47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13</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310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65(4)</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Notwithstanding anything contained in these Articles, where</w:t>
            </w:r>
          </w:p>
        </w:tc>
        <w:tc>
          <w:tcPr>
            <w:tcW w:w="80" w:type="dxa"/>
            <w:vAlign w:val="bottom"/>
          </w:tcPr>
          <w:p>
            <w:pPr>
              <w:spacing w:after="0"/>
              <w:rPr>
                <w:sz w:val="24"/>
                <w:szCs w:val="24"/>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Notwithstanding anything contained in these Articles, where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more than one proxy is appointed by a Member which is a</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more than one proxy is appointed by a Member which is a</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clearing house or a central depository house (or its nominee(s)),</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clearing house or a central depository house (or its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each such proxy shall have one vote on a show of hands. A</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nominee(s)), each such proxy shall have one vote on a show</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resolution put to the vote of a meeting shall be decided on a</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of hands. A resolution put to the vote of a meeting shall be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show of hands unless (before or on the declaration of the result</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decided on a show of hands unless (before or on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the show of hands or on the withdrawal of any other demand</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declaration of the result of the show of hands or on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 a poll) a poll is demanded by the chairman of such meeting</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withdrawal of any other demand for a poll) a poll is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by any one Member present in person or in the case of a</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demanded by the chairman of such meeting or by any one</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Member being a corporation by its duly authorised</w:t>
            </w:r>
          </w:p>
        </w:tc>
        <w:tc>
          <w:tcPr>
            <w:tcW w:w="80" w:type="dxa"/>
            <w:vAlign w:val="bottom"/>
          </w:tcPr>
          <w:p>
            <w:pPr>
              <w:spacing w:after="0"/>
              <w:rPr>
                <w:sz w:val="16"/>
                <w:szCs w:val="16"/>
                <w:color w:val="auto"/>
              </w:rPr>
            </w:pPr>
          </w:p>
        </w:tc>
        <w:tc>
          <w:tcPr>
            <w:tcW w:w="6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Member</w:t>
            </w: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strike w:val="1"/>
                <w:w w:val="96"/>
              </w:rPr>
              <w:t>present</w:t>
            </w:r>
          </w:p>
        </w:tc>
        <w:tc>
          <w:tcPr>
            <w:tcW w:w="3360" w:type="dxa"/>
            <w:vAlign w:val="bottom"/>
            <w:tcBorders>
              <w:right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Present in person or in the case of a Member</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4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representative or by proxy for the time being entitled to vote at</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being a corporation by its duly authorised representative or by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meeting. A demand by a person as proxy for a Member or</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proxy for the time being entitled to vote at the meeting. A</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the case of a Member being a corporation by its duly</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demand by a person as proxy for a Member or in the case of a</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authorised representative shall be deemed to be the same as a</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Member being a corporation by its duly authorised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demand by a Member.</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representative shall be deemed to be the same as a demand by</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54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a Member.</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68</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 poll demanded on the election of a chairman, or on a</w:t>
            </w:r>
          </w:p>
        </w:tc>
        <w:tc>
          <w:tcPr>
            <w:tcW w:w="80" w:type="dxa"/>
            <w:vAlign w:val="bottom"/>
          </w:tcPr>
          <w:p>
            <w:pPr>
              <w:spacing w:after="0"/>
              <w:rPr>
                <w:sz w:val="24"/>
                <w:szCs w:val="24"/>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A poll demanded on the election of a chairman, or on a</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question of adjournment, shall be taken forthwith. A poll</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question of adjournment, shall be taken forthwith. A poll</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demanded on any other question shall be taken in such manner</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demanded on any other question shall be taken in such</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(including the use of ballot or voting papers or tickets) and</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manner (including the use of ballot or voting papers or tickets</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either forthwith or at such time (being not later than thirty</w:t>
            </w:r>
          </w:p>
        </w:tc>
        <w:tc>
          <w:tcPr>
            <w:tcW w:w="80" w:type="dxa"/>
            <w:vAlign w:val="bottom"/>
          </w:tcPr>
          <w:p>
            <w:pPr>
              <w:spacing w:after="0"/>
              <w:rPr>
                <w:sz w:val="16"/>
                <w:szCs w:val="16"/>
                <w:color w:val="auto"/>
              </w:rPr>
            </w:pPr>
          </w:p>
        </w:tc>
        <w:tc>
          <w:tcPr>
            <w:tcW w:w="4540" w:type="dxa"/>
            <w:vAlign w:val="bottom"/>
            <w:tcBorders>
              <w:right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rPr>
              <w:t>or Electronic means) and either forthwith or at such time</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3100" w:type="dxa"/>
            <w:vAlign w:val="bottom"/>
            <w:tcBorders>
              <w:right w:val="single" w:sz="8" w:color="auto"/>
            </w:tcBorders>
            <w:gridSpan w:val="2"/>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 days after the date of the demand) and place as the</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(being not later than thirty (30) days after the date of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chairman directs. It shall not be necessary (unless the chairman</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demand) and place as the chairman directs. It shall not be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otherwise directs) for notice to be given of a poll not taken</w:t>
            </w:r>
          </w:p>
        </w:tc>
        <w:tc>
          <w:tcPr>
            <w:tcW w:w="80" w:type="dxa"/>
            <w:vAlign w:val="bottom"/>
          </w:tcPr>
          <w:p>
            <w:pPr>
              <w:spacing w:after="0"/>
              <w:rPr>
                <w:sz w:val="18"/>
                <w:szCs w:val="18"/>
                <w:color w:val="auto"/>
              </w:rPr>
            </w:pPr>
          </w:p>
        </w:tc>
        <w:tc>
          <w:tcPr>
            <w:tcW w:w="45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necessary (unless the chairman otherwise directs) for notice</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immediately.</w:t>
            </w:r>
          </w:p>
        </w:tc>
        <w:tc>
          <w:tcPr>
            <w:tcW w:w="80" w:type="dxa"/>
            <w:vAlign w:val="bottom"/>
            <w:tcBorders>
              <w:bottom w:val="single" w:sz="8" w:color="auto"/>
            </w:tcBorders>
          </w:tcPr>
          <w:p>
            <w:pPr>
              <w:spacing w:after="0"/>
              <w:rPr>
                <w:sz w:val="20"/>
                <w:szCs w:val="20"/>
                <w:color w:val="auto"/>
              </w:rPr>
            </w:pPr>
          </w:p>
        </w:tc>
        <w:tc>
          <w:tcPr>
            <w:tcW w:w="454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to be given of a poll not taken immediately.</w:t>
            </w:r>
          </w:p>
        </w:tc>
      </w:tr>
      <w:tr>
        <w:trPr>
          <w:trHeight w:val="358"/>
        </w:trPr>
        <w:tc>
          <w:tcPr>
            <w:tcW w:w="1680" w:type="dxa"/>
            <w:vAlign w:val="bottom"/>
          </w:tcPr>
          <w:p>
            <w:pPr>
              <w:spacing w:after="0"/>
              <w:rPr>
                <w:sz w:val="24"/>
                <w:szCs w:val="24"/>
                <w:color w:val="auto"/>
              </w:rPr>
            </w:pPr>
          </w:p>
        </w:tc>
        <w:tc>
          <w:tcPr>
            <w:tcW w:w="47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4620" w:type="dxa"/>
            <w:vAlign w:val="bottom"/>
            <w:tcBorders>
              <w:top w:val="single" w:sz="8" w:color="auto"/>
              <w:bottom w:val="single" w:sz="8" w:color="auto"/>
              <w:right w:val="single" w:sz="8" w:color="auto"/>
            </w:tcBorders>
            <w:gridSpan w:val="4"/>
          </w:tcPr>
          <w:p>
            <w:pPr>
              <w:ind w:left="160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73</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Where there are joint holders of any share any one of such joint</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Where there are joint holders of any share any one of such</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holder may vote, either in person or by proxy, in respect of such</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joint holder may vote, either in person or by proxy, in respect</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 as if he were solely entitled thereto, but if more than one</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of such share as if he were solely entitled thereto, but if more</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of such joint holders be present at any meeting the vote of the</w:t>
            </w:r>
          </w:p>
        </w:tc>
        <w:tc>
          <w:tcPr>
            <w:tcW w:w="24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than one of such joint holders be</w:t>
            </w: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strike w:val="1"/>
                <w:w w:val="96"/>
              </w:rPr>
              <w:t>present</w:t>
            </w:r>
          </w:p>
        </w:tc>
        <w:tc>
          <w:tcPr>
            <w:tcW w:w="162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Present at any</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senior who tenders a vote, whether in person or by proxy, shall</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meeting the vote of the senior who tenders a vote, whether in</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 accepted to the exclusion of the votes of the other joint</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person or by proxy, shall be accepted to the exclusion of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holders, and for this purpose seniority shall be determined by</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votes of the other joint holders, and for this purpose seniority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order in which the names stand in the Register in respect of</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shall be determined by the order in which the names stand in</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joint holding. Several executors or administrators of a</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the Register in respect of the joint holding. Several executors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deceased Member in whose name any share stands shall for the</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or administrators of a deceased Member in whose name any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purposes of this Article be deemed joint holders thereof.</w:t>
            </w:r>
          </w:p>
        </w:tc>
        <w:tc>
          <w:tcPr>
            <w:tcW w:w="46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share stands shall for the purposes of this Article be deemed</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joint holders thereof.</w:t>
            </w:r>
          </w:p>
        </w:tc>
      </w:tr>
      <w:tr>
        <w:trPr>
          <w:trHeight w:val="358"/>
        </w:trPr>
        <w:tc>
          <w:tcPr>
            <w:tcW w:w="1680" w:type="dxa"/>
            <w:vAlign w:val="bottom"/>
          </w:tcPr>
          <w:p>
            <w:pPr>
              <w:spacing w:after="0"/>
              <w:rPr>
                <w:sz w:val="24"/>
                <w:szCs w:val="24"/>
                <w:color w:val="auto"/>
              </w:rPr>
            </w:pPr>
          </w:p>
        </w:tc>
        <w:tc>
          <w:tcPr>
            <w:tcW w:w="47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15</w:t>
            </w:r>
          </w:p>
        </w:tc>
        <w:tc>
          <w:tcPr>
            <w:tcW w:w="2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1120" w:type="dxa"/>
            <w:vAlign w:val="bottom"/>
            <w:tcBorders>
              <w:top w:val="single" w:sz="8" w:color="auto"/>
              <w:bottom w:val="single" w:sz="8" w:color="auto"/>
            </w:tcBorders>
          </w:tcPr>
          <w:p>
            <w:pPr>
              <w:spacing w:after="0"/>
              <w:rPr>
                <w:sz w:val="14"/>
                <w:szCs w:val="14"/>
                <w:color w:val="auto"/>
              </w:rPr>
            </w:pPr>
          </w:p>
        </w:tc>
        <w:tc>
          <w:tcPr>
            <w:tcW w:w="3500" w:type="dxa"/>
            <w:vAlign w:val="bottom"/>
            <w:tcBorders>
              <w:top w:val="single" w:sz="8" w:color="auto"/>
              <w:bottom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79</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instrument appointing a proxy and (if required by the</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The instrument appointing a proxy and (if required by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Board) the power of attorney or other authority (if any) under</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Board) the power of attorney or other authority (if any) under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which it is signed, or a certified copy of such power or</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which it is signed, or a certified copy of such power or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authority, shall be delivered to such place or one of such places</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authority, shall be delivered to such place or one of such</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(if any) as may be specified for that purpose in or by way of</w:t>
            </w:r>
          </w:p>
        </w:tc>
        <w:tc>
          <w:tcPr>
            <w:tcW w:w="4620" w:type="dxa"/>
            <w:vAlign w:val="bottom"/>
            <w:tcBorders>
              <w:right w:val="single" w:sz="8" w:color="auto"/>
            </w:tcBorders>
            <w:gridSpan w:val="3"/>
          </w:tcPr>
          <w:p>
            <w:pPr>
              <w:ind w:left="80"/>
              <w:spacing w:after="0" w:line="194" w:lineRule="exact"/>
              <w:rPr>
                <w:sz w:val="20"/>
                <w:szCs w:val="20"/>
                <w:color w:val="auto"/>
              </w:rPr>
            </w:pPr>
            <w:r>
              <w:rPr>
                <w:rFonts w:ascii="Times New Roman" w:cs="Times New Roman" w:eastAsia="Times New Roman" w:hAnsi="Times New Roman"/>
                <w:sz w:val="18"/>
                <w:szCs w:val="18"/>
                <w:color w:val="auto"/>
              </w:rPr>
              <w:t>places (if any), including by Electronic means, as may be</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note to or in any document accompanying the notice convening</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specified for that purpose in or by way of note to or in any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meeting (or, if no place is so specified at the Registration</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document accompanying the notice convening the meeting</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Office or the Office, as may be appropriate) not less than forty-</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(or, if no place is so specified at the Registration Office or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eight (48) hours before the time appointed for holding the</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Office, as may be appropriate) not less than forty-eight</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meeting or adjourned meeting at which the person named in the</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(48) hours before the time appointed for holding the meeting</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instrument proposes to vote or, in the case of a poll taken</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or adjourned meeting at which the person named in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subsequently to the date of a meeting or adjourned meeting, not</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instrument proposes to vote or, in the case of a poll taken</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less than twenty-four (24) hours before the time appointed for</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subsequently to the date of a meeting or adjourned meeting,</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taking of the poll and in default the instrument of proxy</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not less than twenty-four (24) hours before the time appointed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shall not be treated as valid. No instrument appointing a proxy</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for the taking of the poll and in default the instrument of</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shall be valid after the expiration of twelve (12) months from</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proxy shall not be treated as valid. No instrument appointing</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date named in it as the date of its execution, except at an</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 proxy shall be valid after the expiration of twelve (12)</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adjourned meeting or on a poll demanded at a meeting or an</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months from the date named in it as the date of its execution,</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adjourned meeting in cases where the meeting was originally</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except at an adjourned meeting or on a poll demanded at a</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held within twelve (12) months from such date. Delivery of an</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meeting or an adjourned meeting in cases where the meeting</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instrument appointing a proxy shall not preclude a Member</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was originally held within twelve (12) months from such</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from attending and voting in person at the meeting convened</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date. Delivery of an instrument appointing a proxy shall not</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in such event, the instrument appointing a proxy shall be</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preclude a Member from attending and voting in person at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deemed to be revoked.</w:t>
            </w:r>
          </w:p>
        </w:tc>
        <w:tc>
          <w:tcPr>
            <w:tcW w:w="46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meeting convened and in such event, the instrument</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appointing a proxy shall be deemed to be revoked.</w:t>
            </w:r>
          </w:p>
        </w:tc>
      </w:tr>
      <w:tr>
        <w:trPr>
          <w:trHeight w:val="358"/>
        </w:trPr>
        <w:tc>
          <w:tcPr>
            <w:tcW w:w="1680" w:type="dxa"/>
            <w:vAlign w:val="bottom"/>
          </w:tcPr>
          <w:p>
            <w:pPr>
              <w:spacing w:after="0"/>
              <w:rPr>
                <w:sz w:val="24"/>
                <w:szCs w:val="24"/>
                <w:color w:val="auto"/>
              </w:rPr>
            </w:pPr>
          </w:p>
        </w:tc>
        <w:tc>
          <w:tcPr>
            <w:tcW w:w="47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4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3380" w:type="dxa"/>
            <w:vAlign w:val="bottom"/>
            <w:tcBorders>
              <w:top w:val="single" w:sz="8" w:color="auto"/>
              <w:bottom w:val="single" w:sz="8" w:color="auto"/>
              <w:right w:val="single" w:sz="8" w:color="auto"/>
            </w:tcBorders>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83(1)</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corporation which is a Member may by resolution of its</w:t>
            </w:r>
          </w:p>
        </w:tc>
        <w:tc>
          <w:tcPr>
            <w:tcW w:w="46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Any corporation which is a Member may by resolution of its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 or other governing body authorise such person as it</w:t>
            </w:r>
          </w:p>
        </w:tc>
        <w:tc>
          <w:tcPr>
            <w:tcW w:w="46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directors or other governing body authorise such person as it</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thinks fit to act as its representative at any meeting of the</w:t>
            </w:r>
          </w:p>
        </w:tc>
        <w:tc>
          <w:tcPr>
            <w:tcW w:w="46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thinks fit to act as its representative at any meeting of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or at any meeting of any class of Members. The</w:t>
            </w:r>
          </w:p>
        </w:tc>
        <w:tc>
          <w:tcPr>
            <w:tcW w:w="46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Company or at any meeting of any class of Members.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person so authorised shall be entitled to exercise the same</w:t>
            </w:r>
          </w:p>
        </w:tc>
        <w:tc>
          <w:tcPr>
            <w:tcW w:w="46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person so authorised shall be entitled to exercise the same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powers on behalf of such corporation as the corporation could</w:t>
            </w:r>
          </w:p>
        </w:tc>
        <w:tc>
          <w:tcPr>
            <w:tcW w:w="46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powers on behalf of such corporation as the corporation could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exercise if it were an individual Member and such corporation</w:t>
            </w:r>
          </w:p>
        </w:tc>
        <w:tc>
          <w:tcPr>
            <w:tcW w:w="46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exercise if it were an individual Member and such</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shall for the purposes of these Articles be deemed to be present</w:t>
            </w:r>
          </w:p>
        </w:tc>
        <w:tc>
          <w:tcPr>
            <w:tcW w:w="46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corporation shall for the purposes of these Articles be deemed</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in person at any such meeting if a person so authorised is</w:t>
            </w:r>
          </w:p>
        </w:tc>
        <w:tc>
          <w:tcPr>
            <w:tcW w:w="4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to be</w:t>
            </w:r>
          </w:p>
        </w:tc>
        <w:tc>
          <w:tcPr>
            <w:tcW w:w="12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strike w:val="1"/>
              </w:rPr>
              <w:t>present in person</w:t>
            </w:r>
          </w:p>
        </w:tc>
        <w:tc>
          <w:tcPr>
            <w:tcW w:w="2860" w:type="dxa"/>
            <w:vAlign w:val="bottom"/>
            <w:tcBorders>
              <w:right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Present at any such meeting if a person</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Borders>
              <w:right w:val="single" w:sz="8" w:color="auto"/>
            </w:tcBorders>
          </w:tcPr>
          <w:p>
            <w:pPr>
              <w:spacing w:after="0" w:line="20" w:lineRule="exact"/>
              <w:rPr>
                <w:sz w:val="1"/>
                <w:szCs w:val="1"/>
                <w:color w:val="auto"/>
              </w:rPr>
            </w:pPr>
          </w:p>
        </w:tc>
      </w:tr>
      <w:tr>
        <w:trPr>
          <w:trHeight w:val="196"/>
        </w:trPr>
        <w:tc>
          <w:tcPr>
            <w:tcW w:w="168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present thereat.</w:t>
            </w:r>
          </w:p>
        </w:tc>
        <w:tc>
          <w:tcPr>
            <w:tcW w:w="124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so authorised is</w:t>
            </w: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strike w:val="1"/>
                <w:w w:val="92"/>
              </w:rPr>
              <w:t>present</w:t>
            </w:r>
          </w:p>
        </w:tc>
        <w:tc>
          <w:tcPr>
            <w:tcW w:w="2860" w:type="dxa"/>
            <w:vAlign w:val="bottom"/>
            <w:tcBorders>
              <w:right w:val="single" w:sz="8" w:color="auto"/>
            </w:tcBorders>
            <w:gridSpan w:val="3"/>
          </w:tcPr>
          <w:p>
            <w:pPr>
              <w:jc w:val="center"/>
              <w:ind w:right="1740"/>
              <w:spacing w:after="0" w:line="196" w:lineRule="exact"/>
              <w:rPr>
                <w:sz w:val="20"/>
                <w:szCs w:val="20"/>
                <w:color w:val="auto"/>
              </w:rPr>
            </w:pPr>
            <w:r>
              <w:rPr>
                <w:rFonts w:ascii="Times New Roman" w:cs="Times New Roman" w:eastAsia="Times New Roman" w:hAnsi="Times New Roman"/>
                <w:sz w:val="18"/>
                <w:szCs w:val="18"/>
                <w:color w:val="auto"/>
              </w:rPr>
              <w:t>Present thereat.</w:t>
            </w: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r>
      <w:tr>
        <w:trPr>
          <w:trHeight w:val="358"/>
        </w:trPr>
        <w:tc>
          <w:tcPr>
            <w:tcW w:w="1680" w:type="dxa"/>
            <w:vAlign w:val="bottom"/>
          </w:tcPr>
          <w:p>
            <w:pPr>
              <w:spacing w:after="0"/>
              <w:rPr>
                <w:sz w:val="24"/>
                <w:szCs w:val="24"/>
                <w:color w:val="auto"/>
              </w:rPr>
            </w:pPr>
          </w:p>
        </w:tc>
        <w:tc>
          <w:tcPr>
            <w:tcW w:w="47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2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3580" w:type="dxa"/>
            <w:vAlign w:val="bottom"/>
            <w:tcBorders>
              <w:top w:val="single" w:sz="8" w:color="auto"/>
              <w:bottom w:val="single" w:sz="8" w:color="auto"/>
              <w:right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154</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Notice or document, whether or not, to be given or issued</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Any Notice or document, whether or not, to be given or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under these Articles from the Company to a Member shall be in</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issued under these Articles from the Company to a Member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writing or by cable, telex or facsimile transmission message or</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shall be in writing or by cable, telex or facsimile transmission</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other form of electronic transmission or communication and</w:t>
            </w:r>
          </w:p>
        </w:tc>
        <w:tc>
          <w:tcPr>
            <w:tcW w:w="1940" w:type="dxa"/>
            <w:vAlign w:val="bottom"/>
            <w:gridSpan w:val="4"/>
          </w:tcPr>
          <w:p>
            <w:pPr>
              <w:ind w:left="80"/>
              <w:spacing w:after="0" w:line="194" w:lineRule="exact"/>
              <w:rPr>
                <w:sz w:val="20"/>
                <w:szCs w:val="20"/>
                <w:color w:val="auto"/>
              </w:rPr>
            </w:pPr>
            <w:r>
              <w:rPr>
                <w:rFonts w:ascii="Times New Roman" w:cs="Times New Roman" w:eastAsia="Times New Roman" w:hAnsi="Times New Roman"/>
                <w:sz w:val="18"/>
                <w:szCs w:val="18"/>
                <w:color w:val="auto"/>
              </w:rPr>
              <w:t>message or other form of</w:t>
            </w:r>
          </w:p>
        </w:tc>
        <w:tc>
          <w:tcPr>
            <w:tcW w:w="7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strike w:val="1"/>
                <w:w w:val="95"/>
              </w:rPr>
              <w:t>electronic</w:t>
            </w:r>
          </w:p>
        </w:tc>
        <w:tc>
          <w:tcPr>
            <w:tcW w:w="198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Electronic transmission or</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such Notice and document may be served or delivered by</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communication and any such Notice and document may be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Company on or to any Member either personally or by</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served or delivered by the Company on or to any Member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sending it through the post in a prepaid envelope addressed to</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either personally or by sending it through the post in a</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such Member at his registered address as appearing in the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prepaid envelope addressed to such Member at his registered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Register or at any other address supplied by him to the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address as appearing in the Register or at any other address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for the purpose or, as the case may be, by</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supplied by him to the Company for the purpose or, as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transmitting it to any such address or transmitting it to any telex</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case may be, by transmitting it to any such address or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facsimile transmission number or electronic number or</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transmitting it to any telex or facsimile transmission number</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address or website supplied by him to the Company for the</w:t>
            </w:r>
          </w:p>
        </w:tc>
        <w:tc>
          <w:tcPr>
            <w:tcW w:w="2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or</w:t>
            </w:r>
          </w:p>
        </w:tc>
        <w:tc>
          <w:tcPr>
            <w:tcW w:w="7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strike w:val="1"/>
              </w:rPr>
              <w:t>electronic</w:t>
            </w:r>
          </w:p>
        </w:tc>
        <w:tc>
          <w:tcPr>
            <w:tcW w:w="3580" w:type="dxa"/>
            <w:vAlign w:val="bottom"/>
            <w:tcBorders>
              <w:right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rPr>
              <w:t>Electronic number or address or website</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40" w:type="dxa"/>
            <w:vAlign w:val="bottom"/>
            <w:tcBorders>
              <w:right w:val="single" w:sz="8" w:color="auto"/>
            </w:tcBorders>
            <w:gridSpan w:val="4"/>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giving of Notice to him or which the person transmitting the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supplied by him to the Company for the giving of Notice to</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notice reasonably and bona fide believes at the relevant time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him or which the person transmitting the notice reasonably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 result in the Notice being duly received by the Member or</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and bona fide believes at the relevant time will result in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may also be served by advertisement in appropriate newspapers</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Notice being duly received by the Member or may also be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accordance with the requirements of the Designated Stock</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served by advertisement in appropriate newspapers in</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Exchange, as applicable to the Company, or, to the extent</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accordance with the requirements of the Designated Stock</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permitted by the applicable laws, by placing it on the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Exchange, as applicable to the Company, or, to the extent</w:t>
            </w:r>
          </w:p>
        </w:tc>
      </w:tr>
      <w:tr>
        <w:trPr>
          <w:trHeight w:val="212"/>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 website and giving to the member a notice stating</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permitted by the applicable laws, by placing it on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that the notice or other document is available there (a “</w:t>
            </w:r>
            <w:r>
              <w:rPr>
                <w:rFonts w:ascii="Times New Roman" w:cs="Times New Roman" w:eastAsia="Times New Roman" w:hAnsi="Times New Roman"/>
                <w:sz w:val="18"/>
                <w:szCs w:val="18"/>
                <w:b w:val="1"/>
                <w:bCs w:val="1"/>
                <w:color w:val="auto"/>
                <w:w w:val="99"/>
              </w:rPr>
              <w:t>notice of</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Company’s website and giving to the member a notice stating</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availability</w:t>
            </w:r>
            <w:r>
              <w:rPr>
                <w:rFonts w:ascii="Times New Roman" w:cs="Times New Roman" w:eastAsia="Times New Roman" w:hAnsi="Times New Roman"/>
                <w:sz w:val="18"/>
                <w:szCs w:val="18"/>
                <w:color w:val="auto"/>
              </w:rPr>
              <w:t>”). The notice of availability may be given to the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that the notice or other document is available there (a “</w:t>
            </w:r>
            <w:r>
              <w:rPr>
                <w:rFonts w:ascii="Times New Roman" w:cs="Times New Roman" w:eastAsia="Times New Roman" w:hAnsi="Times New Roman"/>
                <w:sz w:val="18"/>
                <w:szCs w:val="18"/>
                <w:b w:val="1"/>
                <w:bCs w:val="1"/>
                <w:color w:val="auto"/>
              </w:rPr>
              <w:t>notice</w:t>
            </w:r>
          </w:p>
        </w:tc>
      </w:tr>
      <w:tr>
        <w:trPr>
          <w:trHeight w:val="220"/>
        </w:trPr>
        <w:tc>
          <w:tcPr>
            <w:tcW w:w="1680" w:type="dxa"/>
            <w:vAlign w:val="bottom"/>
            <w:tcBorders>
              <w:left w:val="single" w:sz="8" w:color="auto"/>
              <w:right w:val="single" w:sz="8" w:color="auto"/>
            </w:tcBorders>
          </w:tcPr>
          <w:p>
            <w:pPr>
              <w:spacing w:after="0"/>
              <w:rPr>
                <w:sz w:val="19"/>
                <w:szCs w:val="19"/>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Member by any of the means set out above. In the case of joint</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of availability</w:t>
            </w:r>
            <w:r>
              <w:rPr>
                <w:rFonts w:ascii="Times New Roman" w:cs="Times New Roman" w:eastAsia="Times New Roman" w:hAnsi="Times New Roman"/>
                <w:sz w:val="18"/>
                <w:szCs w:val="18"/>
                <w:color w:val="auto"/>
              </w:rPr>
              <w:t>”). The notice of availability may be given to</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holders of a share all notices shall be given to that one of the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 Member by any of the means set out above. In the case of</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joint holders whose name stands first in the Register and notice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joint holders of a share all notices shall be given to that one of</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 given shall be deemed a sufficient service on or delivery to</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 joint holders whose name stands first in the Register and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 the joint holders.</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notice so given shall be deemed a sufficient service on or</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delivery to all the joint holders.</w:t>
            </w:r>
          </w:p>
        </w:tc>
      </w:tr>
      <w:tr>
        <w:trPr>
          <w:trHeight w:val="358"/>
        </w:trPr>
        <w:tc>
          <w:tcPr>
            <w:tcW w:w="1680" w:type="dxa"/>
            <w:vAlign w:val="bottom"/>
          </w:tcPr>
          <w:p>
            <w:pPr>
              <w:spacing w:after="0"/>
              <w:rPr>
                <w:sz w:val="24"/>
                <w:szCs w:val="24"/>
                <w:color w:val="auto"/>
              </w:rPr>
            </w:pPr>
          </w:p>
        </w:tc>
        <w:tc>
          <w:tcPr>
            <w:tcW w:w="47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6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474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Seventh Articles</w:t>
            </w:r>
          </w:p>
        </w:tc>
        <w:tc>
          <w:tcPr>
            <w:tcW w:w="8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3120" w:type="dxa"/>
            <w:vAlign w:val="bottom"/>
            <w:tcBorders>
              <w:top w:val="single" w:sz="8" w:color="auto"/>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Proposed Amendments</w:t>
            </w:r>
          </w:p>
        </w:tc>
      </w:tr>
      <w:tr>
        <w:trPr>
          <w:trHeight w:val="264"/>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155(b)</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if sent by electronic communication, shall be deemed to be</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sent by</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strike w:val="1"/>
                <w:w w:val="95"/>
              </w:rPr>
              <w:t>electronic</w:t>
            </w:r>
          </w:p>
        </w:tc>
        <w:tc>
          <w:tcPr>
            <w:tcW w:w="31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Electronic communication, shall be</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given on the day on which it is transmitted from the server of</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deemed to be given on the day on which it is transmitted from</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Company or its agent. A notice placed on the Company’s</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 server of the Company or its agent. A notice placed on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website is deemed given by the Company to a Member on the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Company’s website is deemed given by the Company to a</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day following that on which a notice of availability is deemed</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Member on the day following that on which a notice of</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served on the Member;</w:t>
            </w:r>
          </w:p>
        </w:tc>
        <w:tc>
          <w:tcPr>
            <w:tcW w:w="4620" w:type="dxa"/>
            <w:vAlign w:val="bottom"/>
            <w:tcBorders>
              <w:bottom w:val="single" w:sz="8" w:color="auto"/>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availability is deemed served on the Member;</w:t>
            </w:r>
          </w:p>
        </w:tc>
      </w:tr>
      <w:tr>
        <w:trPr>
          <w:trHeight w:val="286"/>
        </w:trPr>
        <w:tc>
          <w:tcPr>
            <w:tcW w:w="1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Article 157</w:t>
            </w: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 the purposes of these Articles, a cable or telex or facsimile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For the purposes of these Articles, a cable or telex or</w:t>
            </w:r>
          </w:p>
        </w:tc>
      </w:tr>
      <w:tr>
        <w:trPr>
          <w:trHeight w:val="194"/>
        </w:trPr>
        <w:tc>
          <w:tcPr>
            <w:tcW w:w="1680" w:type="dxa"/>
            <w:vAlign w:val="bottom"/>
            <w:tcBorders>
              <w:left w:val="single" w:sz="8" w:color="auto"/>
              <w:right w:val="single" w:sz="8" w:color="auto"/>
            </w:tcBorders>
          </w:tcPr>
          <w:p>
            <w:pPr>
              <w:spacing w:after="0"/>
              <w:rPr>
                <w:sz w:val="16"/>
                <w:szCs w:val="16"/>
                <w:color w:val="auto"/>
              </w:rPr>
            </w:pPr>
          </w:p>
        </w:tc>
        <w:tc>
          <w:tcPr>
            <w:tcW w:w="47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color w:val="auto"/>
              </w:rPr>
              <w:t>or electronic transmission message purporting to come from a</w:t>
            </w:r>
          </w:p>
        </w:tc>
        <w:tc>
          <w:tcPr>
            <w:tcW w:w="9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facsimile or</w:t>
            </w:r>
          </w:p>
        </w:tc>
        <w:tc>
          <w:tcPr>
            <w:tcW w:w="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strike w:val="1"/>
                <w:w w:val="98"/>
              </w:rPr>
              <w:t>electronic</w:t>
            </w:r>
          </w:p>
        </w:tc>
        <w:tc>
          <w:tcPr>
            <w:tcW w:w="2920" w:type="dxa"/>
            <w:vAlign w:val="bottom"/>
            <w:tcBorders>
              <w:right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Electronic transmission message</w:t>
            </w:r>
          </w:p>
        </w:tc>
      </w:tr>
      <w:tr>
        <w:trPr>
          <w:trHeight w:val="20"/>
        </w:trPr>
        <w:tc>
          <w:tcPr>
            <w:tcW w:w="1680" w:type="dxa"/>
            <w:vAlign w:val="bottom"/>
            <w:tcBorders>
              <w:left w:val="single" w:sz="8" w:color="auto"/>
              <w:right w:val="single" w:sz="8" w:color="auto"/>
            </w:tcBorders>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180" w:type="dxa"/>
            <w:vAlign w:val="bottom"/>
            <w:tcBorders>
              <w:right w:val="single" w:sz="8" w:color="auto"/>
            </w:tcBorders>
          </w:tcPr>
          <w:p>
            <w:pPr>
              <w:spacing w:after="0" w:line="20" w:lineRule="exact"/>
              <w:rPr>
                <w:sz w:val="1"/>
                <w:szCs w:val="1"/>
                <w:color w:val="auto"/>
              </w:rPr>
            </w:pPr>
          </w:p>
        </w:tc>
      </w:tr>
      <w:tr>
        <w:trPr>
          <w:trHeight w:val="218"/>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holder of shares or, as the case may be, a Director, or, in the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purporting to come from a holder of shares or, as the case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case of a corporation which is a holder of shares from a director</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may be, a Director, or, in the case of a corporation which is a</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the secretary thereof or a duly appointed attorney or duly</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holder of shares from a director or the secretary thereof or a</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authorised representative thereof for it and on its behalf, shall in</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duly appointed attorney or duly authorised representative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absence of express evidence to the contrary available to the</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thereof for it and on its behalf, shall in the absence of express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person relying thereon at the relevant time be deemed to be a</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evidence to the contrary available to the person relying</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document or instrument in writing signed by such holder or</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thereon at the relevant time be deemed to be a document or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4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 in the terms in which it is received.</w:t>
            </w:r>
          </w:p>
        </w:tc>
        <w:tc>
          <w:tcPr>
            <w:tcW w:w="462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instrument in writing signed by such holder or Director in the</w:t>
            </w:r>
          </w:p>
        </w:tc>
      </w:tr>
      <w:tr>
        <w:trPr>
          <w:trHeight w:val="234"/>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terms in which it is received.</w:t>
            </w:r>
          </w:p>
        </w:tc>
      </w:tr>
      <w:tr>
        <w:trPr>
          <w:trHeight w:val="358"/>
        </w:trPr>
        <w:tc>
          <w:tcPr>
            <w:tcW w:w="1680" w:type="dxa"/>
            <w:vAlign w:val="bottom"/>
          </w:tcPr>
          <w:p>
            <w:pPr>
              <w:spacing w:after="0"/>
              <w:rPr>
                <w:sz w:val="24"/>
                <w:szCs w:val="24"/>
                <w:color w:val="auto"/>
              </w:rPr>
            </w:pPr>
          </w:p>
        </w:tc>
        <w:tc>
          <w:tcPr>
            <w:tcW w:w="47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24" w:name="page25"/>
    <w:bookmarkEnd w:id="24"/>
    <w:p>
      <w:pPr>
        <w:jc w:val="center"/>
        <w:ind w:right="-6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Eighth Amended and Restated Memorandum of Association and Articles of Association</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CONSTITUTIONAL DOCUMENTS</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THE COMPANIES ACT (REVISED) OF THE CAYMAN ISLANDS</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0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EIGHTH AMENDED AND RESTATED MEMORANDUM OF ASSOCIATION</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22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(Adopted by way of a special resolution of the Members passed on [•] 2026)</w:t>
      </w:r>
    </w:p>
    <w:p>
      <w:pPr>
        <w:spacing w:after="0" w:line="127"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Autohome Inc</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jc w:val="both"/>
        <w:ind w:left="424" w:right="440" w:hanging="424"/>
        <w:spacing w:after="0" w:line="312" w:lineRule="auto"/>
        <w:tabs>
          <w:tab w:leader="none" w:pos="4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Office of the Company shall be c/o the offices of Maples Corporate Services Limited at PO Box 309, Ugland House, Grand Cayman, KY1-1104, Cayman Islands or at such other location within the Cayman Islands as the Directors may from time to time determine.</w:t>
      </w:r>
    </w:p>
    <w:p>
      <w:pPr>
        <w:spacing w:after="0" w:line="45"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following provisions of this Memorandum, the objects for which the Company is established are unrestricted.</w:t>
      </w:r>
    </w:p>
    <w:p>
      <w:pPr>
        <w:spacing w:after="0" w:line="130"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following provisions of this Memorandum, the Company shall have and be capable of exercising all the functions of a natural person of full capacity irrespective of any question of corporate benefit, as provided by Section 27(2) of the Act.</w:t>
      </w:r>
    </w:p>
    <w:p>
      <w:pPr>
        <w:spacing w:after="0" w:line="67"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Memorandum shall permit the Company to carry on a business for which a licence is required under the laws of the Cayman Islands unless duly licensed.</w:t>
      </w:r>
    </w:p>
    <w:p>
      <w:pPr>
        <w:spacing w:after="0" w:line="67"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from time to time unpaid on such member’s shares.</w:t>
      </w:r>
    </w:p>
    <w:p>
      <w:pPr>
        <w:spacing w:after="0" w:line="130"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US$1,000,000,000 divided into 400,000,000,000 Ordinary Shares of a nominal or par value of US$0.0025 each.</w:t>
      </w:r>
    </w:p>
    <w:p>
      <w:pPr>
        <w:spacing w:after="0" w:line="67" w:lineRule="exact"/>
        <w:rPr>
          <w:rFonts w:ascii="Times New Roman" w:cs="Times New Roman" w:eastAsia="Times New Roman" w:hAnsi="Times New Roman"/>
          <w:sz w:val="18"/>
          <w:szCs w:val="18"/>
          <w:color w:val="auto"/>
        </w:rPr>
      </w:pPr>
    </w:p>
    <w:p>
      <w:pPr>
        <w:ind w:left="424" w:right="5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exercise the power contained in the Act to deregister in the Cayman Islands and be registered by way of continuation in another jurisdiction.</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4"/>
          </w:cols>
          <w:pgMar w:left="436" w:top="266" w:right="49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COMPANIES ACT (REVISED) OF THE CAYMAN ISLANDS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EIGHTH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(Adopted by way of a special resolution of the Members passed on [•] 2026)</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019"/>
          </w:cols>
          <w:pgMar w:left="1440" w:top="266"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6060" w:type="dxa"/>
            <w:vAlign w:val="bottom"/>
          </w:tcPr>
          <w:p>
            <w:pPr>
              <w:jc w:val="right"/>
              <w:ind w:right="5070"/>
              <w:spacing w:after="0"/>
              <w:rPr>
                <w:sz w:val="20"/>
                <w:szCs w:val="20"/>
                <w:color w:val="auto"/>
              </w:rPr>
            </w:pPr>
            <w:r>
              <w:rPr>
                <w:rFonts w:ascii="Times New Roman" w:cs="Times New Roman" w:eastAsia="Times New Roman" w:hAnsi="Times New Roman"/>
                <w:sz w:val="18"/>
                <w:szCs w:val="18"/>
                <w:b w:val="1"/>
                <w:bCs w:val="1"/>
                <w:color w:val="auto"/>
              </w:rPr>
              <w:t>INDEX</w:t>
            </w:r>
          </w:p>
        </w:tc>
      </w:tr>
      <w:tr>
        <w:trPr>
          <w:trHeight w:val="409"/>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6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8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REPURCHASE AND REDEMPTION OF SHARES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ALTERATION OF CAPITAL</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SHARE RIGHTS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VARIATION OF RIGHTS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SHARE CERTIFICATES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LIEN</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REGISTER OF MEMBERS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RECORD DATES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UNTRACEABLE MEMBERS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NOTICE OF GENERAL MEETINGS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VOTING</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PROXIES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CORPORATIONS ACTING BY REPRESENTATIVES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 ACTION BY WRITTEN RESOLUTIONS OF MEMBERS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DISQUALIFICATION OF DIRECTORS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ALTERNATE DIRECTORS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 AND EXPENSES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DIRECTORS’ INTERESTS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GENERAL POWERS OF THE DIRECTORS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PROCEEDINGS OF THE DIRECTORS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REGISTER OF DIRECTORS AND OFFICERS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MINUTES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64"/>
        </w:trPr>
        <w:tc>
          <w:tcPr>
            <w:tcW w:w="4900" w:type="dxa"/>
            <w:vAlign w:val="bottom"/>
          </w:tcPr>
          <w:p>
            <w:pPr>
              <w:spacing w:after="0"/>
              <w:rPr>
                <w:sz w:val="24"/>
                <w:szCs w:val="24"/>
                <w:color w:val="auto"/>
              </w:rPr>
            </w:pPr>
          </w:p>
        </w:tc>
        <w:tc>
          <w:tcPr>
            <w:tcW w:w="6060" w:type="dxa"/>
            <w:vAlign w:val="bottom"/>
          </w:tcPr>
          <w:p>
            <w:pPr>
              <w:jc w:val="right"/>
              <w:ind w:right="5270"/>
              <w:spacing w:after="0"/>
              <w:rPr>
                <w:sz w:val="20"/>
                <w:szCs w:val="20"/>
                <w:color w:val="auto"/>
              </w:rPr>
            </w:pPr>
            <w:r>
              <w:rPr>
                <w:rFonts w:ascii="Times New Roman" w:cs="Times New Roman" w:eastAsia="Times New Roman" w:hAnsi="Times New Roman"/>
                <w:sz w:val="18"/>
                <w:szCs w:val="18"/>
                <w:color w:val="auto"/>
              </w:rPr>
              <w:t>22</w:t>
            </w:r>
          </w:p>
        </w:tc>
      </w:tr>
    </w:tbl>
    <w:p>
      <w:pPr>
        <w:jc w:val="right"/>
        <w:ind w:right="5270"/>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 w:name="page28"/>
    <w:bookmarkEnd w:id="27"/>
    <w:tbl>
      <w:tblPr>
        <w:tblLayout w:type="fixed"/>
        <w:tblInd w:w="0" w:type="dxa"/>
        <w:tblCellMar>
          <w:top w:w="0" w:type="dxa"/>
          <w:left w:w="0" w:type="dxa"/>
          <w:bottom w:w="0" w:type="dxa"/>
          <w:right w:w="0" w:type="dxa"/>
        </w:tblCellMar>
      </w:tblP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AUTHENTICATION OF DOCUMENTS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DESTRUCTION OF DOCUMENTS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OTHER PAYMENTS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CAPITALISATION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RIGHTS RESERVE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ACCOUNTING RECORDS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AUDIT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NOTICES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WINDING UP</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INDEMNITY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FINANCIAL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MEMORANDUM AND ARTICLES OF ASSOCIATION AND NAME OF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DISCONTINUANCE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65"/>
        </w:trPr>
        <w:tc>
          <w:tcPr>
            <w:tcW w:w="934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23</w:t>
            </w:r>
          </w:p>
        </w:tc>
        <w:tc>
          <w:tcPr>
            <w:tcW w:w="1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 w:name="page29"/>
    <w:bookmarkEnd w:id="2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56"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in Table A in the Schedule to the Act do not apply to the Company.</w:t>
      </w:r>
    </w:p>
    <w:p>
      <w:pPr>
        <w:spacing w:after="0" w:line="130"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 these Articles, unless the context otherwise requires, the words standing in the first column of the following table shall bear the meaning set opposite them respectively in the second column.</w:t>
      </w:r>
    </w:p>
    <w:p>
      <w:pPr>
        <w:sectPr>
          <w:pgSz w:w="11900" w:h="16838" w:orient="portrait"/>
          <w:cols w:equalWidth="0" w:num="1">
            <w:col w:w="10984"/>
          </w:cols>
          <w:pgMar w:left="436" w:top="266" w:right="479" w:bottom="1440" w:gutter="0" w:footer="0" w:header="0"/>
        </w:sectPr>
      </w:pP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4"/>
          <w:szCs w:val="14"/>
          <w:b w:val="1"/>
          <w:bCs w:val="1"/>
          <w:color w:val="auto"/>
        </w:rPr>
        <w:t>WORD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MEANING</w:t>
      </w:r>
    </w:p>
    <w:p>
      <w:pPr>
        <w:spacing w:after="0" w:line="98" w:lineRule="exact"/>
        <w:rPr>
          <w:sz w:val="20"/>
          <w:szCs w:val="20"/>
          <w:color w:val="auto"/>
        </w:rPr>
      </w:pPr>
    </w:p>
    <w:p>
      <w:pPr>
        <w:sectPr>
          <w:pgSz w:w="11900" w:h="16838" w:orient="portrait"/>
          <w:cols w:equalWidth="0" w:num="2">
            <w:col w:w="1844" w:space="720"/>
            <w:col w:w="8420"/>
          </w:cols>
          <w:pgMar w:left="436" w:top="266" w:right="47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Companies Act (As Revised) of the Cayman Islands.</w:t>
      </w:r>
    </w:p>
    <w:p>
      <w:pPr>
        <w:spacing w:after="0" w:line="113" w:lineRule="exact"/>
        <w:rPr>
          <w:sz w:val="20"/>
          <w:szCs w:val="20"/>
          <w:color w:val="auto"/>
        </w:rPr>
      </w:pPr>
    </w:p>
    <w:p>
      <w:pPr>
        <w:sectPr>
          <w:pgSz w:w="11900" w:h="16838" w:orient="portrait"/>
          <w:cols w:equalWidth="0" w:num="2">
            <w:col w:w="1844" w:space="720"/>
            <w:col w:w="8420"/>
          </w:cols>
          <w:pgMar w:left="436" w:top="266" w:right="47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“ADS”</w:t>
      </w:r>
    </w:p>
    <w:p>
      <w:pPr>
        <w:spacing w:after="0" w:line="20" w:lineRule="exact"/>
        <w:rPr>
          <w:sz w:val="20"/>
          <w:szCs w:val="20"/>
          <w:color w:val="auto"/>
        </w:rPr>
      </w:pPr>
      <w:r>
        <w:rPr>
          <w:sz w:val="20"/>
          <w:szCs w:val="20"/>
          <w:color w:val="auto"/>
        </w:rPr>
        <w:br w:type="column"/>
      </w:r>
    </w:p>
    <w:p>
      <w:pPr>
        <w:ind w:right="640"/>
        <w:spacing w:after="0" w:line="282" w:lineRule="auto"/>
        <w:rPr>
          <w:sz w:val="20"/>
          <w:szCs w:val="20"/>
          <w:color w:val="auto"/>
        </w:rPr>
      </w:pPr>
      <w:r>
        <w:rPr>
          <w:rFonts w:ascii="Times New Roman" w:cs="Times New Roman" w:eastAsia="Times New Roman" w:hAnsi="Times New Roman"/>
          <w:sz w:val="18"/>
          <w:szCs w:val="18"/>
          <w:color w:val="auto"/>
        </w:rPr>
        <w:t>an American depositary share, each representing a certain number of Ordinary Shares, which is listed on the Designated Stock Exchange.</w:t>
      </w:r>
    </w:p>
    <w:p>
      <w:pPr>
        <w:spacing w:after="0" w:line="50" w:lineRule="exact"/>
        <w:rPr>
          <w:sz w:val="20"/>
          <w:szCs w:val="20"/>
          <w:color w:val="auto"/>
        </w:rPr>
      </w:pPr>
    </w:p>
    <w:p>
      <w:pPr>
        <w:sectPr>
          <w:pgSz w:w="11900" w:h="16838" w:orient="portrait"/>
          <w:cols w:equalWidth="0" w:num="2">
            <w:col w:w="1844" w:space="720"/>
            <w:col w:w="8420"/>
          </w:cols>
          <w:pgMar w:left="436" w:top="266" w:right="47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“Affiliate”</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a person that directly or indirectly, through one or more intermediaries, controls or is controlled by, or is under common control with, a specified person.</w:t>
      </w:r>
    </w:p>
    <w:p>
      <w:pPr>
        <w:spacing w:after="0" w:line="50" w:lineRule="exact"/>
        <w:rPr>
          <w:sz w:val="20"/>
          <w:szCs w:val="20"/>
          <w:color w:val="auto"/>
        </w:rPr>
      </w:pPr>
    </w:p>
    <w:p>
      <w:pPr>
        <w:sectPr>
          <w:pgSz w:w="11900" w:h="16838" w:orient="portrait"/>
          <w:cols w:equalWidth="0" w:num="2">
            <w:col w:w="1844" w:space="720"/>
            <w:col w:w="8420"/>
          </w:cols>
          <w:pgMar w:left="436" w:top="266" w:right="47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the audit and compliance committee of the Company formed by the Board pursuant to Article 121 hereof, or any successor audit committee.</w:t>
      </w:r>
    </w:p>
    <w:p>
      <w:pPr>
        <w:spacing w:after="0" w:line="50" w:lineRule="exact"/>
        <w:rPr>
          <w:sz w:val="20"/>
          <w:szCs w:val="20"/>
          <w:color w:val="auto"/>
        </w:rPr>
      </w:pPr>
    </w:p>
    <w:p>
      <w:pPr>
        <w:sectPr>
          <w:pgSz w:w="11900" w:h="16838" w:orient="portrait"/>
          <w:cols w:equalWidth="0" w:num="2">
            <w:col w:w="1964" w:space="600"/>
            <w:col w:w="8420"/>
          </w:cols>
          <w:pgMar w:left="436" w:top="266" w:right="47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“Auditor”</w:t>
      </w:r>
    </w:p>
    <w:p>
      <w:pPr>
        <w:spacing w:after="0" w:line="20" w:lineRule="exact"/>
        <w:rPr>
          <w:sz w:val="20"/>
          <w:szCs w:val="20"/>
          <w:color w:val="auto"/>
        </w:rPr>
      </w:pPr>
      <w:r>
        <w:rPr>
          <w:sz w:val="20"/>
          <w:szCs w:val="20"/>
          <w:color w:val="auto"/>
        </w:rPr>
        <w:br w:type="column"/>
      </w:r>
    </w:p>
    <w:p>
      <w:pPr>
        <w:ind w:right="820"/>
        <w:spacing w:after="0" w:line="282" w:lineRule="auto"/>
        <w:rPr>
          <w:sz w:val="20"/>
          <w:szCs w:val="20"/>
          <w:color w:val="auto"/>
        </w:rPr>
      </w:pPr>
      <w:r>
        <w:rPr>
          <w:rFonts w:ascii="Times New Roman" w:cs="Times New Roman" w:eastAsia="Times New Roman" w:hAnsi="Times New Roman"/>
          <w:sz w:val="18"/>
          <w:szCs w:val="18"/>
          <w:color w:val="auto"/>
        </w:rPr>
        <w:t>the independent auditor of the Company which shall be an internationally recognized firm of independent accountants.</w:t>
      </w:r>
    </w:p>
    <w:p>
      <w:pPr>
        <w:spacing w:after="0" w:line="50" w:lineRule="exact"/>
        <w:rPr>
          <w:sz w:val="20"/>
          <w:szCs w:val="20"/>
          <w:color w:val="auto"/>
        </w:rPr>
      </w:pPr>
    </w:p>
    <w:p>
      <w:pPr>
        <w:sectPr>
          <w:pgSz w:w="11900" w:h="16838" w:orient="portrait"/>
          <w:cols w:equalWidth="0" w:num="2">
            <w:col w:w="1844" w:space="720"/>
            <w:col w:w="8420"/>
          </w:cols>
          <w:pgMar w:left="436" w:top="266" w:right="47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Times New Roman" w:cs="Times New Roman" w:eastAsia="Times New Roman" w:hAnsi="Times New Roman"/>
          <w:sz w:val="17"/>
          <w:szCs w:val="17"/>
          <w:color w:val="auto"/>
        </w:rPr>
        <w:t>these Articles in their present form or as supplemented or amended or substituted from time to time.</w:t>
      </w:r>
    </w:p>
    <w:p>
      <w:pPr>
        <w:spacing w:after="0" w:line="124" w:lineRule="exact"/>
        <w:rPr>
          <w:sz w:val="20"/>
          <w:szCs w:val="20"/>
          <w:color w:val="auto"/>
        </w:rPr>
      </w:pPr>
    </w:p>
    <w:p>
      <w:pPr>
        <w:sectPr>
          <w:pgSz w:w="11900" w:h="16838" w:orient="portrait"/>
          <w:cols w:equalWidth="0" w:num="2">
            <w:col w:w="1844" w:space="720"/>
            <w:col w:w="8420"/>
          </w:cols>
          <w:pgMar w:left="436" w:top="266" w:right="47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b w:val="1"/>
          <w:bCs w:val="1"/>
          <w:color w:val="auto"/>
        </w:rPr>
        <w:t>“Board” or “Directors”</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or the directors present at a meeting of directors of the Company at which a quorum is present.</w:t>
      </w:r>
    </w:p>
    <w:p>
      <w:pPr>
        <w:spacing w:after="0" w:line="50" w:lineRule="exact"/>
        <w:rPr>
          <w:sz w:val="20"/>
          <w:szCs w:val="20"/>
          <w:color w:val="auto"/>
        </w:rPr>
      </w:pPr>
    </w:p>
    <w:p>
      <w:pPr>
        <w:sectPr>
          <w:pgSz w:w="11900" w:h="16838" w:orient="portrait"/>
          <w:cols w:equalWidth="0" w:num="2">
            <w:col w:w="2264" w:space="300"/>
            <w:col w:w="8420"/>
          </w:cols>
          <w:pgMar w:left="436" w:top="266" w:right="47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“Business Day”</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a day other than a Saturday, Sunday, holiday or other day on which commercial banks in (i) New York, New York, (ii) Beijing, PRC or (iii) Hong Kong, PRC are authorized or required by law to close.</w:t>
      </w:r>
    </w:p>
    <w:p>
      <w:pPr>
        <w:spacing w:after="0" w:line="50" w:lineRule="exact"/>
        <w:rPr>
          <w:sz w:val="20"/>
          <w:szCs w:val="20"/>
          <w:color w:val="auto"/>
        </w:rPr>
      </w:pPr>
    </w:p>
    <w:p>
      <w:pPr>
        <w:sectPr>
          <w:pgSz w:w="11900" w:h="16838" w:orient="portrait"/>
          <w:cols w:equalWidth="0" w:num="2">
            <w:col w:w="1844" w:space="720"/>
            <w:col w:w="8420"/>
          </w:cols>
          <w:pgMar w:left="436" w:top="266" w:right="47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b w:val="1"/>
          <w:bCs w:val="1"/>
          <w:color w:val="auto"/>
        </w:rPr>
        <w:t>“capital”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share capital from time to time of the Company.</w:t>
      </w:r>
    </w:p>
    <w:p>
      <w:pPr>
        <w:spacing w:after="0" w:line="125" w:lineRule="exact"/>
        <w:rPr>
          <w:sz w:val="20"/>
          <w:szCs w:val="20"/>
          <w:color w:val="auto"/>
        </w:rPr>
      </w:pPr>
    </w:p>
    <w:p>
      <w:pPr>
        <w:sectPr>
          <w:pgSz w:w="11900" w:h="16838" w:orient="portrait"/>
          <w:cols w:equalWidth="0" w:num="2">
            <w:col w:w="1844" w:space="720"/>
            <w:col w:w="8420"/>
          </w:cols>
          <w:pgMar w:left="436" w:top="266" w:right="47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“clear days”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in relation to the period of a notice, that period excluding the day when the notice is given or deemed to be given and the day for which it is given or on which it is to take effect.</w:t>
      </w:r>
    </w:p>
    <w:p>
      <w:pPr>
        <w:spacing w:after="0" w:line="94" w:lineRule="exact"/>
        <w:rPr>
          <w:sz w:val="20"/>
          <w:szCs w:val="20"/>
          <w:color w:val="auto"/>
        </w:rPr>
      </w:pPr>
    </w:p>
    <w:p>
      <w:pPr>
        <w:sectPr>
          <w:pgSz w:w="11900" w:h="16838" w:orient="portrait"/>
          <w:cols w:equalWidth="0" w:num="2">
            <w:col w:w="1844" w:space="720"/>
            <w:col w:w="8420"/>
          </w:cols>
          <w:pgMar w:left="436" w:top="266" w:right="479" w:bottom="1440" w:gutter="0" w:footer="0" w:header="0"/>
          <w:type w:val="continuous"/>
        </w:sectPr>
      </w:pPr>
    </w:p>
    <w:p>
      <w:pPr>
        <w:jc w:val="center"/>
        <w:ind w:right="-4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66" w:right="4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“clearing house”</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a clearing house recognised by the laws of the jurisdiction in which the shares of the Company (or depositary receipts therefor) are listed or quoted on a stock exchange or interdealer quotation system in such jurisdiction and shall include the Hong Kong Securities Clearing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-587375</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1460" w:space="720"/>
            <w:col w:w="8320"/>
          </w:cols>
          <w:pgMar w:left="880" w:top="374" w:right="51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“Communication</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video, video-conferencing, internet or online conferencing applications, telephone or tele-conferencing, and/or any other video-communications, internet or online conferencing application or telecommunications facilities by means of which all Persons participating in a meeting are capable of hearing and being heard by each other and all Members’ rights to speak and vote at the meeting are maintained.</w:t>
      </w:r>
    </w:p>
    <w:p>
      <w:pPr>
        <w:spacing w:after="0" w:line="68" w:lineRule="exact"/>
        <w:rPr>
          <w:sz w:val="20"/>
          <w:szCs w:val="20"/>
          <w:color w:val="auto"/>
        </w:rPr>
      </w:pPr>
    </w:p>
    <w:p>
      <w:pPr>
        <w:sectPr>
          <w:pgSz w:w="11900" w:h="16838" w:orient="portrait"/>
          <w:cols w:equalWidth="0" w:num="2">
            <w:col w:w="1460" w:space="720"/>
            <w:col w:w="8320"/>
          </w:cols>
          <w:pgMar w:left="880" w:top="374"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Autohome Inc.</w:t>
      </w:r>
    </w:p>
    <w:p>
      <w:pPr>
        <w:spacing w:after="0" w:line="124" w:lineRule="exact"/>
        <w:rPr>
          <w:sz w:val="20"/>
          <w:szCs w:val="20"/>
          <w:color w:val="auto"/>
        </w:rPr>
      </w:pPr>
    </w:p>
    <w:p>
      <w:pPr>
        <w:sectPr>
          <w:pgSz w:w="11900" w:h="16838" w:orient="portrait"/>
          <w:cols w:equalWidth="0" w:num="2">
            <w:col w:w="1460" w:space="720"/>
            <w:col w:w="8320"/>
          </w:cols>
          <w:pgMar w:left="880" w:top="374"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“competent regulatory</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authority”</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a competent regulatory authority in the territory where the shares of the Company (or depositary receipts therefor) are listed or quoted on a stock exchange or interdealer quotation system in such territory.</w:t>
      </w:r>
    </w:p>
    <w:p>
      <w:pPr>
        <w:spacing w:after="0" w:line="50" w:lineRule="exact"/>
        <w:rPr>
          <w:sz w:val="20"/>
          <w:szCs w:val="20"/>
          <w:color w:val="auto"/>
        </w:rPr>
      </w:pPr>
    </w:p>
    <w:p>
      <w:pPr>
        <w:sectPr>
          <w:pgSz w:w="11900" w:h="16838" w:orient="portrait"/>
          <w:cols w:equalWidth="0" w:num="2">
            <w:col w:w="1740" w:space="440"/>
            <w:col w:w="8320"/>
          </w:cols>
          <w:pgMar w:left="880" w:top="374"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“control”</w:t>
      </w:r>
    </w:p>
    <w:p>
      <w:pPr>
        <w:spacing w:after="0" w:line="20" w:lineRule="exact"/>
        <w:rPr>
          <w:sz w:val="20"/>
          <w:szCs w:val="20"/>
          <w:color w:val="auto"/>
        </w:rPr>
      </w:pPr>
      <w:r>
        <w:rPr>
          <w:sz w:val="20"/>
          <w:szCs w:val="20"/>
          <w:color w:val="auto"/>
        </w:rPr>
        <w:br w:type="column"/>
      </w: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64" w:lineRule="exact"/>
        <w:rPr>
          <w:sz w:val="20"/>
          <w:szCs w:val="20"/>
          <w:color w:val="auto"/>
        </w:rPr>
      </w:pPr>
    </w:p>
    <w:p>
      <w:pPr>
        <w:sectPr>
          <w:pgSz w:w="11900" w:h="16838" w:orient="portrait"/>
          <w:cols w:equalWidth="0" w:num="2">
            <w:col w:w="1460" w:space="720"/>
            <w:col w:w="8320"/>
          </w:cols>
          <w:pgMar w:left="880" w:top="374"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“debenture” and</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“debenture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 debenture stock and debenture stockholder respectively.</w:t>
      </w:r>
    </w:p>
    <w:p>
      <w:pPr>
        <w:spacing w:after="0" w:line="340" w:lineRule="exact"/>
        <w:rPr>
          <w:sz w:val="20"/>
          <w:szCs w:val="20"/>
          <w:color w:val="auto"/>
        </w:rPr>
      </w:pPr>
    </w:p>
    <w:p>
      <w:pPr>
        <w:sectPr>
          <w:pgSz w:w="11900" w:h="16838" w:orient="portrait"/>
          <w:cols w:equalWidth="0" w:num="2">
            <w:col w:w="1680" w:space="500"/>
            <w:col w:w="8320"/>
          </w:cols>
          <w:pgMar w:left="880" w:top="374"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“Designated Stock</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Exchange”</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the New York Stock Exchange or any other stock exchange on which the Company’s ADSs or Ordinary Shares are listed for trading.</w:t>
      </w:r>
    </w:p>
    <w:p>
      <w:pPr>
        <w:spacing w:after="0" w:line="50" w:lineRule="exact"/>
        <w:rPr>
          <w:sz w:val="20"/>
          <w:szCs w:val="20"/>
          <w:color w:val="auto"/>
        </w:rPr>
      </w:pPr>
    </w:p>
    <w:p>
      <w:pPr>
        <w:sectPr>
          <w:pgSz w:w="11900" w:h="16838" w:orient="portrait"/>
          <w:cols w:equalWidth="0" w:num="2">
            <w:col w:w="1460" w:space="720"/>
            <w:col w:w="8320"/>
          </w:cols>
          <w:pgMar w:left="880" w:top="374"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“dollars” 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dollars, the legal currency of the United States of America.</w:t>
      </w:r>
    </w:p>
    <w:p>
      <w:pPr>
        <w:spacing w:after="0" w:line="113" w:lineRule="exact"/>
        <w:rPr>
          <w:sz w:val="20"/>
          <w:szCs w:val="20"/>
          <w:color w:val="auto"/>
        </w:rPr>
      </w:pPr>
    </w:p>
    <w:p>
      <w:pPr>
        <w:sectPr>
          <w:pgSz w:w="11900" w:h="16838" w:orient="portrait"/>
          <w:cols w:equalWidth="0" w:num="2">
            <w:col w:w="1460" w:space="720"/>
            <w:col w:w="8320"/>
          </w:cols>
          <w:pgMar w:left="880" w:top="374"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“Electronic”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same meaning as in the Electronic Transactions Act.</w:t>
      </w:r>
    </w:p>
    <w:p>
      <w:pPr>
        <w:spacing w:after="0" w:line="125" w:lineRule="exact"/>
        <w:rPr>
          <w:sz w:val="20"/>
          <w:szCs w:val="20"/>
          <w:color w:val="auto"/>
        </w:rPr>
      </w:pPr>
    </w:p>
    <w:p>
      <w:pPr>
        <w:sectPr>
          <w:pgSz w:w="11900" w:h="16838" w:orient="portrait"/>
          <w:cols w:equalWidth="0" w:num="2">
            <w:col w:w="1460" w:space="720"/>
            <w:col w:w="8320"/>
          </w:cols>
          <w:pgMar w:left="880" w:top="374"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“Electronic Transactions</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Electronic Transactions Act (As Revised) of the Cayman Islands.</w:t>
      </w:r>
    </w:p>
    <w:p>
      <w:pPr>
        <w:spacing w:after="0" w:line="340" w:lineRule="exact"/>
        <w:rPr>
          <w:sz w:val="20"/>
          <w:szCs w:val="20"/>
          <w:color w:val="auto"/>
        </w:rPr>
      </w:pPr>
    </w:p>
    <w:p>
      <w:pPr>
        <w:sectPr>
          <w:pgSz w:w="11900" w:h="16838" w:orient="portrait"/>
          <w:cols w:equalWidth="0" w:num="2">
            <w:col w:w="1900" w:space="280"/>
            <w:col w:w="8320"/>
          </w:cols>
          <w:pgMar w:left="880" w:top="374"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113" w:lineRule="exact"/>
        <w:rPr>
          <w:sz w:val="20"/>
          <w:szCs w:val="20"/>
          <w:color w:val="auto"/>
        </w:rPr>
      </w:pPr>
    </w:p>
    <w:p>
      <w:pPr>
        <w:sectPr>
          <w:pgSz w:w="11900" w:h="16838" w:orient="portrait"/>
          <w:cols w:equalWidth="0" w:num="2">
            <w:col w:w="1460" w:space="720"/>
            <w:col w:w="8320"/>
          </w:cols>
          <w:pgMar w:left="880" w:top="374"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“head office”</w:t>
      </w:r>
    </w:p>
    <w:p>
      <w:pPr>
        <w:spacing w:after="0" w:line="20" w:lineRule="exact"/>
        <w:rPr>
          <w:sz w:val="20"/>
          <w:szCs w:val="20"/>
          <w:color w:val="auto"/>
        </w:rPr>
      </w:pPr>
      <w:r>
        <w:rPr>
          <w:sz w:val="20"/>
          <w:szCs w:val="20"/>
          <w:color w:val="auto"/>
        </w:rPr>
        <w:br w:type="column"/>
      </w:r>
    </w:p>
    <w:p>
      <w:pPr>
        <w:ind w:right="440"/>
        <w:spacing w:after="0" w:line="282" w:lineRule="auto"/>
        <w:rPr>
          <w:sz w:val="20"/>
          <w:szCs w:val="20"/>
          <w:color w:val="auto"/>
        </w:rPr>
      </w:pPr>
      <w:r>
        <w:rPr>
          <w:rFonts w:ascii="Times New Roman" w:cs="Times New Roman" w:eastAsia="Times New Roman" w:hAnsi="Times New Roman"/>
          <w:sz w:val="18"/>
          <w:szCs w:val="18"/>
          <w:color w:val="auto"/>
        </w:rPr>
        <w:t>such office of the Company as the Directors may from time to time determine to be the principal office of the Company.</w:t>
      </w:r>
    </w:p>
    <w:p>
      <w:pPr>
        <w:spacing w:after="0" w:line="94" w:lineRule="exact"/>
        <w:rPr>
          <w:sz w:val="20"/>
          <w:szCs w:val="20"/>
          <w:color w:val="auto"/>
        </w:rPr>
      </w:pPr>
    </w:p>
    <w:p>
      <w:pPr>
        <w:sectPr>
          <w:pgSz w:w="11900" w:h="16838" w:orient="portrait"/>
          <w:cols w:equalWidth="0" w:num="2">
            <w:col w:w="1460" w:space="720"/>
            <w:col w:w="8320"/>
          </w:cols>
          <w:pgMar w:left="880" w:top="374" w:right="51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00"/>
          </w:cols>
          <w:pgMar w:left="880" w:top="374" w:right="5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“Listing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Rules Governing the Listing of Securities on The Stock Exchange of Hong Kong Limited,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-281940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1400" w:space="720"/>
            <w:col w:w="8440"/>
          </w:cols>
          <w:pgMar w:left="880" w:top="374" w:right="4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duly registered holder from time to time of the shares in the capital of the Company including the Ordinary Shares.</w:t>
      </w:r>
    </w:p>
    <w:p>
      <w:pPr>
        <w:spacing w:after="0" w:line="124"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calendar month.</w:t>
      </w:r>
    </w:p>
    <w:p>
      <w:pPr>
        <w:spacing w:after="0" w:line="125"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written notice unless otherwise specifically stated and as further defined in these Articles.</w:t>
      </w:r>
    </w:p>
    <w:p>
      <w:pPr>
        <w:spacing w:after="0" w:line="113"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registered office of the Company for the time being.</w:t>
      </w:r>
    </w:p>
    <w:p>
      <w:pPr>
        <w:spacing w:after="0" w:line="113"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0" w:lineRule="exact"/>
        <w:rPr>
          <w:sz w:val="20"/>
          <w:szCs w:val="20"/>
          <w:color w:val="auto"/>
        </w:rPr>
      </w:pPr>
      <w:r>
        <w:rPr>
          <w:sz w:val="20"/>
          <w:szCs w:val="20"/>
          <w:color w:val="auto"/>
        </w:rPr>
        <w:br w:type="column"/>
      </w:r>
    </w:p>
    <w:p>
      <w:pPr>
        <w:ind w:right="280"/>
        <w:spacing w:after="0" w:line="261" w:lineRule="auto"/>
        <w:rPr>
          <w:sz w:val="20"/>
          <w:szCs w:val="20"/>
          <w:color w:val="auto"/>
        </w:rPr>
      </w:pPr>
      <w:r>
        <w:rPr>
          <w:rFonts w:ascii="Times New Roman" w:cs="Times New Roman" w:eastAsia="Times New Roman" w:hAnsi="Times New Roman"/>
          <w:sz w:val="18"/>
          <w:szCs w:val="18"/>
          <w:color w:val="auto"/>
        </w:rPr>
        <w:t>a resolution shall be an ordinary resolution when it has been passed by a simple majority of votes cast by such Members as, being entitled so to do, vote in person or, in the case of any Member being a corporation, by its duly authorised representative or, where proxies are allowed, by proxy at a general meeting of which not less than fourteen (14) clear days’ Notice has been duly given.</w:t>
      </w:r>
    </w:p>
    <w:p>
      <w:pPr>
        <w:spacing w:after="0" w:line="68" w:lineRule="exact"/>
        <w:rPr>
          <w:sz w:val="20"/>
          <w:szCs w:val="20"/>
          <w:color w:val="auto"/>
        </w:rPr>
      </w:pPr>
    </w:p>
    <w:p>
      <w:pPr>
        <w:sectPr>
          <w:pgSz w:w="11900" w:h="16838" w:orient="portrait"/>
          <w:cols w:equalWidth="0" w:num="2">
            <w:col w:w="1680" w:space="44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ordinary shares of par value US$0.0025 each of the Company having the rights set out in these Articles.</w:t>
      </w:r>
    </w:p>
    <w:p>
      <w:pPr>
        <w:spacing w:after="0" w:line="124" w:lineRule="exact"/>
        <w:rPr>
          <w:sz w:val="20"/>
          <w:szCs w:val="20"/>
          <w:color w:val="auto"/>
        </w:rPr>
      </w:pPr>
    </w:p>
    <w:p>
      <w:pPr>
        <w:sectPr>
          <w:pgSz w:w="11900" w:h="16838" w:orient="portrait"/>
          <w:cols w:equalWidth="0" w:num="2">
            <w:col w:w="1480" w:space="64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“paid 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paid up or credited as paid up.</w:t>
      </w:r>
    </w:p>
    <w:p>
      <w:pPr>
        <w:spacing w:after="0" w:line="113"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“Register”</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the principal register of Members and where applicable, any branch register of Members to be maintained at such place within or outside the Cayman Islands as the Board shall determine from time to time.</w:t>
      </w:r>
    </w:p>
    <w:p>
      <w:pPr>
        <w:spacing w:after="0" w:line="50"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“Registration Office”</w:t>
      </w:r>
    </w:p>
    <w:p>
      <w:pPr>
        <w:spacing w:after="0" w:line="20" w:lineRule="exact"/>
        <w:rPr>
          <w:sz w:val="20"/>
          <w:szCs w:val="20"/>
          <w:color w:val="auto"/>
        </w:rPr>
      </w:pPr>
      <w:r>
        <w:rPr>
          <w:sz w:val="20"/>
          <w:szCs w:val="20"/>
          <w:color w:val="auto"/>
        </w:rPr>
        <w:br w:type="column"/>
      </w: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in respect of any class of share capital such place as the Board may from time to time determine to keep a branch register of Members in respect of that class of share capital and where (except in cases where the Board otherwise directs) the transfers or other documents of title for such class of share capital are to be lodged for registration and are to be registered.</w:t>
      </w:r>
    </w:p>
    <w:p>
      <w:pPr>
        <w:spacing w:after="0" w:line="68" w:lineRule="exact"/>
        <w:rPr>
          <w:sz w:val="20"/>
          <w:szCs w:val="20"/>
          <w:color w:val="auto"/>
        </w:rPr>
      </w:pPr>
    </w:p>
    <w:p>
      <w:pPr>
        <w:sectPr>
          <w:pgSz w:w="11900" w:h="16838" w:orient="portrait"/>
          <w:cols w:equalWidth="0" w:num="2">
            <w:col w:w="1640" w:space="48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any natural person, firm, company, joint venture, partnership, corporation, association or other entity (whether or not having a separate legal personality) or any of them as the context so requires.</w:t>
      </w:r>
    </w:p>
    <w:p>
      <w:pPr>
        <w:spacing w:after="0" w:line="94"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374" w:right="4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“Present”</w:t>
      </w:r>
    </w:p>
    <w:p>
      <w:pPr>
        <w:spacing w:after="0" w:line="20" w:lineRule="exact"/>
        <w:rPr>
          <w:sz w:val="20"/>
          <w:szCs w:val="20"/>
          <w:color w:val="auto"/>
        </w:rPr>
      </w:pPr>
      <w:r>
        <w:rPr>
          <w:sz w:val="20"/>
          <w:szCs w:val="20"/>
          <w:color w:val="auto"/>
        </w:rPr>
        <w:br w:type="column"/>
      </w:r>
    </w:p>
    <w:p>
      <w:pPr>
        <w:ind w:right="60"/>
        <w:spacing w:after="0" w:line="258" w:lineRule="auto"/>
        <w:rPr>
          <w:sz w:val="20"/>
          <w:szCs w:val="20"/>
          <w:color w:val="auto"/>
        </w:rPr>
      </w:pPr>
      <w:r>
        <w:rPr>
          <w:rFonts w:ascii="Times New Roman" w:cs="Times New Roman" w:eastAsia="Times New Roman" w:hAnsi="Times New Roman"/>
          <w:sz w:val="18"/>
          <w:szCs w:val="18"/>
          <w:color w:val="auto"/>
        </w:rPr>
        <w:t>in respect of any Person, such Person’s presence at a general meeting of Members, which may be satisfied by means of such Person or, if a corporation or other non-natural Person, its duly authorised representative (or, in the case of any Member, a proxy which has been validly appointed by such Member in accordance with these Articles) being: (a) physically present at the meeting; or (b) in the case of any meeting at which Communications Facilities are permitted in accordance with these Articles, connected by means of the use of such Communication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-857250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1400" w:space="720"/>
            <w:col w:w="8440"/>
          </w:cols>
          <w:pgMar w:left="880" w:top="374" w:right="4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United States Securities and Exchange Commission.</w:t>
      </w:r>
    </w:p>
    <w:p>
      <w:pPr>
        <w:spacing w:after="0" w:line="124"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“Seal”</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common seal or any one or more duplicate seals of the Company (including a securities seal) for use in the Cayman Islands or in any place outside the Cayman Islands.</w:t>
      </w:r>
    </w:p>
    <w:p>
      <w:pPr>
        <w:spacing w:after="0" w:line="50"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any person, firm or corporation appointed by the Board to perform any of the duties of secretary of the Company and includes any assistant, deputy, temporary or acting secretary.</w:t>
      </w:r>
    </w:p>
    <w:p>
      <w:pPr>
        <w:spacing w:after="0" w:line="50"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a resolution shall be a special resolution when it has been passed by a majority of not less than two-thirds of votes cast by such Members as, being entitled so to do, vote in person or, in the case of such Members as are corporations, by their respective duly authorised representative or, where proxies are allowed, by proxy at a general meeting duly noticed and convened in accordance with these Articles.</w:t>
      </w:r>
    </w:p>
    <w:p>
      <w:pPr>
        <w:spacing w:after="0" w:line="68" w:lineRule="exact"/>
        <w:rPr>
          <w:sz w:val="20"/>
          <w:szCs w:val="20"/>
          <w:color w:val="auto"/>
        </w:rPr>
      </w:pPr>
    </w:p>
    <w:p>
      <w:pPr>
        <w:sectPr>
          <w:pgSz w:w="11900" w:h="16838" w:orient="portrait"/>
          <w:cols w:equalWidth="0" w:num="2">
            <w:col w:w="1520" w:space="60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“Statutes”</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the Act and every other law of the Legislature of the Cayman Islands for the time being in force applying to or affecting the Company, its Memorandum of Association and/or these Articles.</w:t>
      </w:r>
    </w:p>
    <w:p>
      <w:pPr>
        <w:spacing w:after="0" w:line="50"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any transfer, sale, assignment, pledge, hypothecation, or other alienation or encumbrance, whether or not for value.</w:t>
      </w:r>
    </w:p>
    <w:p>
      <w:pPr>
        <w:spacing w:after="0" w:line="125"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“Virtual Meeting”</w:t>
      </w:r>
    </w:p>
    <w:p>
      <w:pPr>
        <w:spacing w:after="0" w:line="20" w:lineRule="exact"/>
        <w:rPr>
          <w:sz w:val="20"/>
          <w:szCs w:val="20"/>
          <w:color w:val="auto"/>
        </w:rPr>
      </w:pPr>
      <w:r>
        <w:rPr>
          <w:sz w:val="20"/>
          <w:szCs w:val="20"/>
          <w:color w:val="auto"/>
        </w:rPr>
        <w:br w:type="column"/>
      </w:r>
    </w:p>
    <w:p>
      <w:pPr>
        <w:ind w:right="300"/>
        <w:spacing w:after="0" w:line="266" w:lineRule="auto"/>
        <w:rPr>
          <w:sz w:val="20"/>
          <w:szCs w:val="20"/>
          <w:color w:val="auto"/>
        </w:rPr>
      </w:pPr>
      <w:r>
        <w:rPr>
          <w:rFonts w:ascii="Times New Roman" w:cs="Times New Roman" w:eastAsia="Times New Roman" w:hAnsi="Times New Roman"/>
          <w:sz w:val="18"/>
          <w:szCs w:val="18"/>
          <w:color w:val="auto"/>
        </w:rPr>
        <w:t>any general meeting of the Members at which the Members and any other permitted participants of such meeting (including, without limitation, the chairman of such meeting and any Directors) are permitted to attend and participate solely by means of Communication Facilities.</w:t>
      </w:r>
    </w:p>
    <w:p>
      <w:pPr>
        <w:spacing w:after="0" w:line="64"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calendar year.</w:t>
      </w:r>
    </w:p>
    <w:p>
      <w:pPr>
        <w:spacing w:after="0" w:line="169" w:lineRule="exact"/>
        <w:rPr>
          <w:sz w:val="20"/>
          <w:szCs w:val="20"/>
          <w:color w:val="auto"/>
        </w:rPr>
      </w:pPr>
    </w:p>
    <w:p>
      <w:pPr>
        <w:sectPr>
          <w:pgSz w:w="11900" w:h="16838" w:orient="portrait"/>
          <w:cols w:equalWidth="0" w:num="2">
            <w:col w:w="1400" w:space="720"/>
            <w:col w:w="8440"/>
          </w:cols>
          <w:pgMar w:left="880" w:top="374" w:right="459" w:bottom="1440" w:gutter="0" w:footer="0" w:header="0"/>
          <w:type w:val="continuous"/>
        </w:sect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80" w:top="374" w:right="459" w:bottom="1440" w:gutter="0" w:footer="0" w:header="0"/>
          <w:type w:val="continuous"/>
        </w:sectPr>
      </w:pPr>
    </w:p>
    <w:bookmarkStart w:id="32" w:name="page33"/>
    <w:bookmarkEnd w:id="32"/>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these Articles, unless there be something within the subject or context inconsistent with such construction: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a gender include both gender and the neuter;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Persons include companies, associations and bodies of persons whether corporate or not;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shall be construed as permissive;</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or “will” shall be construed as imperative;</w:t>
      </w:r>
    </w:p>
    <w:p>
      <w:pPr>
        <w:spacing w:after="0" w:line="130" w:lineRule="exact"/>
        <w:rPr>
          <w:rFonts w:ascii="Times New Roman" w:cs="Times New Roman" w:eastAsia="Times New Roman" w:hAnsi="Times New Roman"/>
          <w:sz w:val="18"/>
          <w:szCs w:val="18"/>
          <w:color w:val="auto"/>
        </w:rPr>
      </w:pPr>
    </w:p>
    <w:p>
      <w:pPr>
        <w:ind w:left="964" w:right="160" w:hanging="532"/>
        <w:spacing w:after="0" w:line="261"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expressions referring to writing shall, unless the contrary intention appears, be construed as including printing, lithography, photography and other modes of representing words or figures in a visible form, and including where the representation takes the form of electronic display; provided that both the mode of service of the relevant document or notice and the Member’s election comply with all applicable Statutes, rules and regulations;</w:t>
      </w:r>
    </w:p>
    <w:p>
      <w:pPr>
        <w:spacing w:after="0" w:line="85"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law, ordinance, statute or statutory provision shall be interpreted as relating to any statutory modification or re-enactment thereof for the time being in force;</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aforesaid words and expressions defined in the Statutes shall bear the same meanings in these Articles if not inconsistent with the subject in the context;</w:t>
      </w:r>
    </w:p>
    <w:p>
      <w:pPr>
        <w:spacing w:after="0" w:line="67" w:lineRule="exact"/>
        <w:rPr>
          <w:rFonts w:ascii="Times New Roman" w:cs="Times New Roman" w:eastAsia="Times New Roman" w:hAnsi="Times New Roman"/>
          <w:sz w:val="18"/>
          <w:szCs w:val="18"/>
          <w:color w:val="auto"/>
        </w:rPr>
      </w:pPr>
    </w:p>
    <w:p>
      <w:pPr>
        <w:ind w:left="964" w:right="80" w:hanging="532"/>
        <w:spacing w:after="0" w:line="266"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document being executed include references to it being executed under hand or under seal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81" w:lineRule="exact"/>
        <w:rPr>
          <w:rFonts w:ascii="Times New Roman" w:cs="Times New Roman" w:eastAsia="Times New Roman" w:hAnsi="Times New Roman"/>
          <w:sz w:val="18"/>
          <w:szCs w:val="18"/>
          <w:color w:val="auto"/>
        </w:rPr>
      </w:pPr>
    </w:p>
    <w:p>
      <w:pPr>
        <w:ind w:left="964" w:right="50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of the Electronic Transactions Act, as amended from time to time, shall not apply to these Articles to the extent it imposes obligations or requirements in addition to those set out in these Articles.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4"/>
          </w:cols>
          <w:pgMar w:left="436" w:top="270" w:right="4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 AND REDEMPTION OF SHARES</w:t>
      </w:r>
    </w:p>
    <w:p>
      <w:pPr>
        <w:spacing w:after="0" w:line="256" w:lineRule="exact"/>
        <w:rPr>
          <w:sz w:val="20"/>
          <w:szCs w:val="20"/>
          <w:color w:val="auto"/>
        </w:rPr>
      </w:pPr>
    </w:p>
    <w:p>
      <w:pPr>
        <w:ind w:left="520" w:hanging="539"/>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3. (1)</w:t>
        <w:tab/>
        <w:t>Subject to the Act, the Company’s Memorandum and these Articles and, where applicable, the rules of the Designated Stock Exchange and/or any competent regulatory authority, any power of the Company to purchase or otherwise acquire its own shares shall be exercisable by the Board in such manner, upon such terms and subject to such conditions as it thinks fit, including funding a purchase or acquisition out of capital.</w:t>
      </w:r>
    </w:p>
    <w:p>
      <w:pPr>
        <w:spacing w:after="0" w:line="81" w:lineRule="exact"/>
        <w:rPr>
          <w:sz w:val="20"/>
          <w:szCs w:val="20"/>
          <w:color w:val="auto"/>
        </w:rPr>
      </w:pPr>
    </w:p>
    <w:p>
      <w:pPr>
        <w:ind w:left="940" w:hanging="53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 shall be issued to bearer.</w:t>
      </w:r>
    </w:p>
    <w:p>
      <w:pPr>
        <w:spacing w:after="0" w:line="130" w:lineRule="exact"/>
        <w:rPr>
          <w:rFonts w:ascii="Times New Roman" w:cs="Times New Roman" w:eastAsia="Times New Roman" w:hAnsi="Times New Roman"/>
          <w:sz w:val="18"/>
          <w:szCs w:val="18"/>
          <w:color w:val="auto"/>
        </w:rPr>
      </w:pPr>
    </w:p>
    <w:p>
      <w:pPr>
        <w:ind w:left="940" w:right="160" w:hanging="532"/>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authorised to redeem or repurchase any Ordinary Shares which are represented by ADSs listed on the Designated Stock Exchange in accordance with the following manner of purchase:</w:t>
      </w:r>
    </w:p>
    <w:p>
      <w:pPr>
        <w:spacing w:after="0" w:line="67" w:lineRule="exact"/>
        <w:rPr>
          <w:rFonts w:ascii="Times New Roman" w:cs="Times New Roman" w:eastAsia="Times New Roman" w:hAnsi="Times New Roman"/>
          <w:sz w:val="18"/>
          <w:szCs w:val="18"/>
          <w:color w:val="auto"/>
        </w:rPr>
      </w:pPr>
    </w:p>
    <w:p>
      <w:pPr>
        <w:ind w:left="1400" w:right="760" w:hanging="439"/>
        <w:spacing w:after="0" w:line="28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Ordinary Shares that may be redeemed or repurchased shall be equal to the number of issued and outstanding Ordinary Shares less one Ordinary Share; and</w:t>
      </w:r>
    </w:p>
    <w:p>
      <w:pPr>
        <w:spacing w:after="0" w:line="67" w:lineRule="exact"/>
        <w:rPr>
          <w:rFonts w:ascii="Times New Roman" w:cs="Times New Roman" w:eastAsia="Times New Roman" w:hAnsi="Times New Roman"/>
          <w:sz w:val="18"/>
          <w:szCs w:val="18"/>
          <w:color w:val="auto"/>
        </w:rPr>
      </w:pPr>
    </w:p>
    <w:p>
      <w:pPr>
        <w:ind w:left="1400" w:right="80" w:hanging="439"/>
        <w:spacing w:after="0" w:line="28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repurchase of the ADSs and the underlying Ordinary Shares shall be at such time, at such price and on such other terms as determined and agreed by the Board in their sole discretion; provided, however, that:</w:t>
      </w:r>
    </w:p>
    <w:p>
      <w:pPr>
        <w:spacing w:after="0" w:line="67" w:lineRule="exact"/>
        <w:rPr>
          <w:rFonts w:ascii="Times New Roman" w:cs="Times New Roman" w:eastAsia="Times New Roman" w:hAnsi="Times New Roman"/>
          <w:sz w:val="18"/>
          <w:szCs w:val="18"/>
          <w:color w:val="auto"/>
        </w:rPr>
      </w:pPr>
    </w:p>
    <w:p>
      <w:pPr>
        <w:ind w:left="1940" w:right="140" w:hanging="533"/>
        <w:spacing w:after="0" w:line="282" w:lineRule="auto"/>
        <w:tabs>
          <w:tab w:leader="none" w:pos="19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redemption or repurchase transactions shall be in accordance with the Designated Stock Exchange rules and any other relevant codes, rules and regulations applicable to the listing of the ADSs on the Designated Stock Exchange; and</w:t>
      </w:r>
    </w:p>
    <w:p>
      <w:pPr>
        <w:spacing w:after="0" w:line="67" w:lineRule="exact"/>
        <w:rPr>
          <w:rFonts w:ascii="Times New Roman" w:cs="Times New Roman" w:eastAsia="Times New Roman" w:hAnsi="Times New Roman"/>
          <w:sz w:val="18"/>
          <w:szCs w:val="18"/>
          <w:color w:val="auto"/>
        </w:rPr>
      </w:pPr>
    </w:p>
    <w:p>
      <w:pPr>
        <w:ind w:left="1940" w:hanging="533"/>
        <w:spacing w:after="0" w:line="282" w:lineRule="auto"/>
        <w:tabs>
          <w:tab w:leader="none" w:pos="19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the redemption or repurchase, the Company is able to pay its debts as they fall due in the ordinary course of its business.</w:t>
      </w:r>
    </w:p>
    <w:p>
      <w:pPr>
        <w:spacing w:after="0" w:line="67" w:lineRule="exact"/>
        <w:rPr>
          <w:rFonts w:ascii="Times New Roman" w:cs="Times New Roman" w:eastAsia="Times New Roman" w:hAnsi="Times New Roman"/>
          <w:sz w:val="18"/>
          <w:szCs w:val="18"/>
          <w:color w:val="auto"/>
        </w:rPr>
      </w:pPr>
    </w:p>
    <w:p>
      <w:pPr>
        <w:ind w:left="940" w:right="160" w:hanging="532"/>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authorised to redeem or repurchase any Ordinary Shares not underlying ADSs in accordance with the following manner of redemption or repurchase (as applicable):</w:t>
      </w:r>
    </w:p>
    <w:p>
      <w:pPr>
        <w:spacing w:after="0" w:line="67" w:lineRule="exact"/>
        <w:rPr>
          <w:rFonts w:ascii="Times New Roman" w:cs="Times New Roman" w:eastAsia="Times New Roman" w:hAnsi="Times New Roman"/>
          <w:sz w:val="18"/>
          <w:szCs w:val="18"/>
          <w:color w:val="auto"/>
        </w:rPr>
      </w:pPr>
    </w:p>
    <w:p>
      <w:pPr>
        <w:ind w:left="1400" w:right="260" w:hanging="439"/>
        <w:spacing w:after="0" w:line="266"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serve a redemption or repurchase notice (as applicable) in a form approved by the Board on the Member from whom the Ordinary Shares are to be repurchased at least two Business Days prior to the date specified in the notice as being the redemption or repurchase date (as applicable);</w:t>
      </w:r>
    </w:p>
    <w:p>
      <w:pPr>
        <w:spacing w:after="0" w:line="81" w:lineRule="exact"/>
        <w:rPr>
          <w:rFonts w:ascii="Times New Roman" w:cs="Times New Roman" w:eastAsia="Times New Roman" w:hAnsi="Times New Roman"/>
          <w:sz w:val="18"/>
          <w:szCs w:val="18"/>
          <w:color w:val="auto"/>
        </w:rPr>
      </w:pPr>
    </w:p>
    <w:p>
      <w:pPr>
        <w:ind w:left="1400" w:right="260" w:hanging="439"/>
        <w:spacing w:after="0" w:line="28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Ordinary Shares being redeemed or repurchased shall be such price agreed between the Board and the applicable Member;</w:t>
      </w:r>
    </w:p>
    <w:p>
      <w:pPr>
        <w:spacing w:after="0" w:line="67"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redemption or repurchase shall be the date specified in the redemption or repurchase notice (as applicable);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60" w:top="266" w:right="479" w:bottom="1440" w:gutter="0" w:footer="0" w:header="0"/>
        </w:sectPr>
      </w:pPr>
    </w:p>
    <w:bookmarkStart w:id="34" w:name="page35"/>
    <w:bookmarkEnd w:id="34"/>
    <w:p>
      <w:pPr>
        <w:ind w:left="1380" w:right="180" w:hanging="439"/>
        <w:spacing w:after="0" w:line="261"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redemption or repurchase shall be on such other terms as specified in the redemption or repurchase notice (as applicable) as determined and agreed by the Board and the applicable Member in their sole discretion; provided, however, that at the time of and immediately after the redemption or repurchase, the Company is able to pay its debts as they fall due in the ordinary course of its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CAPITAL</w:t>
      </w:r>
    </w:p>
    <w:p>
      <w:pPr>
        <w:spacing w:after="0" w:line="256" w:lineRule="exact"/>
        <w:rPr>
          <w:sz w:val="20"/>
          <w:szCs w:val="20"/>
          <w:color w:val="auto"/>
        </w:rPr>
      </w:pPr>
    </w:p>
    <w:p>
      <w:pPr>
        <w:ind w:left="500" w:right="140" w:hanging="539"/>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4. (1)</w:t>
        <w:tab/>
        <w:t>The Company may from time to time by ordinary resolution in accordance with the Act alter the conditions of its Memorandum of Association to:</w:t>
      </w:r>
    </w:p>
    <w:p>
      <w:pPr>
        <w:spacing w:after="0" w:line="67" w:lineRule="exact"/>
        <w:rPr>
          <w:sz w:val="20"/>
          <w:szCs w:val="20"/>
          <w:color w:val="auto"/>
        </w:rPr>
      </w:pPr>
    </w:p>
    <w:p>
      <w:pPr>
        <w:ind w:left="1380" w:hanging="439"/>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capital by such sum, to be divided into shares of such amounts, as the resolution shall prescribe;</w:t>
      </w:r>
    </w:p>
    <w:p>
      <w:pPr>
        <w:spacing w:after="0" w:line="130" w:lineRule="exact"/>
        <w:rPr>
          <w:rFonts w:ascii="Times New Roman" w:cs="Times New Roman" w:eastAsia="Times New Roman" w:hAnsi="Times New Roman"/>
          <w:sz w:val="18"/>
          <w:szCs w:val="18"/>
          <w:color w:val="auto"/>
        </w:rPr>
      </w:pPr>
    </w:p>
    <w:p>
      <w:pPr>
        <w:ind w:left="1380" w:hanging="439"/>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capital into shares of larger amount than its existing shares;</w:t>
      </w:r>
    </w:p>
    <w:p>
      <w:pPr>
        <w:spacing w:after="0" w:line="130" w:lineRule="exact"/>
        <w:rPr>
          <w:rFonts w:ascii="Times New Roman" w:cs="Times New Roman" w:eastAsia="Times New Roman" w:hAnsi="Times New Roman"/>
          <w:sz w:val="18"/>
          <w:szCs w:val="18"/>
          <w:color w:val="auto"/>
        </w:rPr>
      </w:pPr>
    </w:p>
    <w:p>
      <w:pPr>
        <w:ind w:left="1380" w:right="80" w:hanging="439"/>
        <w:spacing w:after="0" w:line="255"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w:t>
      </w:r>
    </w:p>
    <w:p>
      <w:pPr>
        <w:spacing w:after="0" w:line="94" w:lineRule="exact"/>
        <w:rPr>
          <w:rFonts w:ascii="Times New Roman" w:cs="Times New Roman" w:eastAsia="Times New Roman" w:hAnsi="Times New Roman"/>
          <w:sz w:val="18"/>
          <w:szCs w:val="18"/>
          <w:color w:val="auto"/>
        </w:rPr>
      </w:pPr>
    </w:p>
    <w:p>
      <w:pPr>
        <w:ind w:left="1380" w:hanging="439"/>
        <w:spacing w:after="0" w:line="261"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smaller amount than is fixed by the Memorandum of Association (subject, nevertheless, to the Act),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spacing w:after="0" w:line="85" w:lineRule="exact"/>
        <w:rPr>
          <w:rFonts w:ascii="Times New Roman" w:cs="Times New Roman" w:eastAsia="Times New Roman" w:hAnsi="Times New Roman"/>
          <w:sz w:val="18"/>
          <w:szCs w:val="18"/>
          <w:color w:val="auto"/>
        </w:rPr>
      </w:pPr>
    </w:p>
    <w:p>
      <w:pPr>
        <w:jc w:val="both"/>
        <w:ind w:left="1380" w:right="120" w:hanging="439"/>
        <w:spacing w:after="0" w:line="266"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capital by the amount of the shares so cancelled or, in the case of shares, without par value, diminish the number of shares into which its capital is divided.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80" w:top="270" w:right="499" w:bottom="1440" w:gutter="0" w:footer="0" w:header="0"/>
        </w:sectPr>
      </w:pPr>
    </w:p>
    <w:bookmarkStart w:id="35" w:name="page36"/>
    <w:bookmarkEnd w:id="35"/>
    <w:p>
      <w:pPr>
        <w:ind w:left="544" w:right="80" w:hanging="544"/>
        <w:spacing w:after="0" w:line="255" w:lineRule="auto"/>
        <w:tabs>
          <w:tab w:leader="none" w:pos="5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may settle as it considers expedient any difficulty which arises in relation to any consolidation and division under the last preceding Article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some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94" w:lineRule="exact"/>
        <w:rPr>
          <w:rFonts w:ascii="Times New Roman" w:cs="Times New Roman" w:eastAsia="Times New Roman" w:hAnsi="Times New Roman"/>
          <w:sz w:val="18"/>
          <w:szCs w:val="18"/>
          <w:color w:val="auto"/>
        </w:rPr>
      </w:pPr>
    </w:p>
    <w:p>
      <w:pPr>
        <w:ind w:left="544" w:right="20" w:hanging="544"/>
        <w:spacing w:after="0" w:line="282" w:lineRule="auto"/>
        <w:tabs>
          <w:tab w:leader="none" w:pos="5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special resolution, subject to any confirmation or consent required by the Act, reduce its share capital or any capital redemption reserve in any manner permitted by law.</w:t>
      </w:r>
    </w:p>
    <w:p>
      <w:pPr>
        <w:spacing w:after="0" w:line="67" w:lineRule="exact"/>
        <w:rPr>
          <w:rFonts w:ascii="Times New Roman" w:cs="Times New Roman" w:eastAsia="Times New Roman" w:hAnsi="Times New Roman"/>
          <w:sz w:val="18"/>
          <w:szCs w:val="18"/>
          <w:color w:val="auto"/>
        </w:rPr>
      </w:pPr>
    </w:p>
    <w:p>
      <w:pPr>
        <w:ind w:left="544" w:right="120" w:hanging="544"/>
        <w:spacing w:after="0" w:line="289" w:lineRule="auto"/>
        <w:tabs>
          <w:tab w:leader="none" w:pos="5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installments, transfer and transmission, forfeiture, lien, cancellation, surrender, voting and otherwise.</w:t>
      </w:r>
    </w:p>
    <w:p>
      <w:pPr>
        <w:spacing w:after="0" w:line="37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SHARE RIGHTS</w:t>
      </w:r>
    </w:p>
    <w:p>
      <w:pPr>
        <w:spacing w:after="0" w:line="256" w:lineRule="exact"/>
        <w:rPr>
          <w:sz w:val="20"/>
          <w:szCs w:val="20"/>
          <w:color w:val="auto"/>
        </w:rPr>
      </w:pPr>
    </w:p>
    <w:p>
      <w:pPr>
        <w:ind w:left="544"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8. (1)</w:t>
        <w:tab/>
        <w:t>Subject to the provisions of the Act, the rules of the Designated Stock Exchange, as applicable to the Company, the Memorandum of Association and these Articles and to any special rights conferred on the holders of any shares or class of shares, and without prejudice to Article 11 hereof, any share in the Company (whether forming part of the present capital or not) may be issued with or have attached thereto such rights or restrictions whether in regard to dividend, voting, return of capital or otherwise as the Board may determine, including without limitation on terms that they may be, or at the option of the Company or the holder are, liable to be redeemed on such terms and in such manner, including out of capital, as the Board may deem fit.</w:t>
      </w:r>
    </w:p>
    <w:p>
      <w:pPr>
        <w:spacing w:after="0" w:line="93" w:lineRule="exact"/>
        <w:rPr>
          <w:sz w:val="20"/>
          <w:szCs w:val="20"/>
          <w:color w:val="auto"/>
        </w:rPr>
      </w:pPr>
    </w:p>
    <w:p>
      <w:pPr>
        <w:ind w:left="964" w:hanging="532"/>
        <w:spacing w:after="0" w:line="266"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any preferred shares may be issued or converted into shares that, at a determinable date or at the option of the Company or the holder if so authorised by the Memorandum of Association, are liable to be redeemed on such terms and in such manner as the Company before the issue or conversion may by ordinary resolution of the Members or by resolutions of the Board determine.</w:t>
      </w:r>
    </w:p>
    <w:p>
      <w:pPr>
        <w:spacing w:after="0" w:line="81"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8(1), the Memorandum of Association, and without prejudice to any special rights conferred thereby on the holders of any other shares or class of shares, the share capital of the Company shall be comprised of Ordinary Shares.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36" w:name="page37"/>
    <w:bookmarkEnd w:id="3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VARIATION OF RIGHTS</w:t>
      </w:r>
    </w:p>
    <w:p>
      <w:pPr>
        <w:spacing w:after="0" w:line="256" w:lineRule="exact"/>
        <w:rPr>
          <w:sz w:val="20"/>
          <w:szCs w:val="20"/>
          <w:color w:val="auto"/>
        </w:rPr>
      </w:pPr>
    </w:p>
    <w:p>
      <w:pPr>
        <w:ind w:left="544" w:hanging="544"/>
        <w:spacing w:after="0" w:line="258"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without prejudice to Article 8, all or any of the special rights for the time being attached to the shares or any class of shares may, 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 separate general meeting all the provisions of these Articles relating to general meetings of the Company shall, mutatis mutandis, apply, but so that:</w:t>
      </w:r>
    </w:p>
    <w:p>
      <w:pPr>
        <w:spacing w:after="0" w:line="88" w:lineRule="exact"/>
        <w:rPr>
          <w:rFonts w:ascii="Times New Roman" w:cs="Times New Roman" w:eastAsia="Times New Roman" w:hAnsi="Times New Roman"/>
          <w:sz w:val="18"/>
          <w:szCs w:val="18"/>
          <w:color w:val="auto"/>
        </w:rPr>
      </w:pPr>
    </w:p>
    <w:p>
      <w:pPr>
        <w:ind w:left="964" w:right="120" w:hanging="532"/>
        <w:spacing w:after="0" w:line="266"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(whether at a separate general meeting or at its adjourned meeting) shall be a person or persons (or in the case of a Member being a corporation, its duly authorized representative) together holding or representing by proxy not less than ten percent (10%) in nominal value of the issued shares of that class;</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shares of the class shall be entitled on a poll to one vote for every such share held by him;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shares of the class Present may demand a poll.</w:t>
      </w:r>
    </w:p>
    <w:p>
      <w:pPr>
        <w:spacing w:after="0" w:line="130" w:lineRule="exact"/>
        <w:rPr>
          <w:rFonts w:ascii="Times New Roman" w:cs="Times New Roman" w:eastAsia="Times New Roman" w:hAnsi="Times New Roman"/>
          <w:sz w:val="18"/>
          <w:szCs w:val="18"/>
          <w:color w:val="auto"/>
        </w:rPr>
      </w:pPr>
    </w:p>
    <w:p>
      <w:pPr>
        <w:ind w:left="544" w:right="100" w:hanging="544"/>
        <w:spacing w:after="0" w:line="266"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pari passu therewith.</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56" w:lineRule="exact"/>
        <w:rPr>
          <w:sz w:val="20"/>
          <w:szCs w:val="20"/>
          <w:color w:val="auto"/>
        </w:rPr>
      </w:pPr>
    </w:p>
    <w:p>
      <w:pPr>
        <w:ind w:left="544" w:right="20" w:hanging="539"/>
        <w:spacing w:after="0" w:line="252" w:lineRule="auto"/>
        <w:rPr>
          <w:sz w:val="20"/>
          <w:szCs w:val="20"/>
          <w:color w:val="auto"/>
        </w:rPr>
      </w:pPr>
      <w:r>
        <w:rPr>
          <w:rFonts w:ascii="Times New Roman" w:cs="Times New Roman" w:eastAsia="Times New Roman" w:hAnsi="Times New Roman"/>
          <w:sz w:val="18"/>
          <w:szCs w:val="18"/>
          <w:color w:val="auto"/>
        </w:rPr>
        <w:t>11. (1) Subject to the Act, these Articles and, where applicable, the rules of the Designated Stock Exchange, and without prejudice to any special rights or restrictions for the time being attached to any shares or any class of shares, the unissued shares of the Company (whether forming part of the original or any increased capital) shall be at the disposal of the Board, which may offer, allot, grant options over or otherwise dispose of them to such persons, at such times and for such consideration and upon such terms and conditions as the Board may in its absolute discretion determine but so that no shares shall be issued at a discount to its par value. In particular and without prejudice to the generality of the foregoing, the Board is hereby empowered to authorize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Act, these Articles and, where applicable, the rules of the Designated Stock Exchange and any other stock exchange(s). Without limiting the generality of the foregoing, the resolution or resolutions providing for the establishment of any class or series of preferred shares may, to the extent permitted by law, provide that such class or series shall be superior to, rank equally with or be junior to the preferred shares of any other class or series.</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66" w:right="439" w:bottom="1440" w:gutter="0" w:footer="0" w:header="0"/>
        </w:sectPr>
      </w:pPr>
    </w:p>
    <w:bookmarkStart w:id="37" w:name="page38"/>
    <w:bookmarkEnd w:id="37"/>
    <w:p>
      <w:pPr>
        <w:ind w:left="964" w:hanging="532"/>
        <w:spacing w:after="0" w:line="254"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of or ordinary shares shall be a prerequisite to the issuance of any shares of any class or series of the preferred shares authorized by and complying with the conditions of the Memorandum of Association and these Articles.</w:t>
      </w:r>
    </w:p>
    <w:p>
      <w:pPr>
        <w:spacing w:after="0" w:line="97"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spacing w:after="0" w:line="81" w:lineRule="exact"/>
        <w:rPr>
          <w:rFonts w:ascii="Times New Roman" w:cs="Times New Roman" w:eastAsia="Times New Roman" w:hAnsi="Times New Roman"/>
          <w:sz w:val="18"/>
          <w:szCs w:val="18"/>
          <w:color w:val="auto"/>
        </w:rPr>
      </w:pPr>
    </w:p>
    <w:p>
      <w:pPr>
        <w:jc w:val="both"/>
        <w:ind w:left="424" w:right="100" w:hanging="424"/>
        <w:spacing w:after="0" w:line="266"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connection with the issue of any shares exercise all powers of paying commission and brokerage conferred or permitted by the Act. Subject to the Act, the commission may be satisfied by the payment of cash or by the allotment of fully or partly paid shares or partly in one and partly in the other.</w:t>
      </w:r>
    </w:p>
    <w:p>
      <w:pPr>
        <w:spacing w:after="0" w:line="81"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no person shall be recognised by the Company as holding any share upon any trust and the Company shall not be bound by or required in any way to recognise (even when having notice thereof) any equitable, contingent, future or partial interest in any share or any fractional part of a share or (except only as otherwise provided by these Articles or by law) any other rights in respect of any share except an absolute right to the entirety thereof in the registered holder.</w:t>
      </w:r>
    </w:p>
    <w:p>
      <w:pPr>
        <w:spacing w:after="0" w:line="85"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these Articles, the Board may at any time after the allotment of shares but before any person has been entered in the Register as the holder, recognise a renunciation thereof by the allottee in favour of some other person and may accord to any allottee of a share a right to effect such renunciation upon and subject to such terms and conditions as the Board considers fit to impose.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70" w:right="479" w:bottom="1440" w:gutter="0" w:footer="0" w:header="0"/>
        </w:sectPr>
      </w:pPr>
    </w:p>
    <w:bookmarkStart w:id="38" w:name="page39"/>
    <w:bookmarkEnd w:id="3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CERTIFICATES</w:t>
      </w:r>
    </w:p>
    <w:p>
      <w:pPr>
        <w:spacing w:after="0" w:line="256" w:lineRule="exact"/>
        <w:rPr>
          <w:sz w:val="20"/>
          <w:szCs w:val="20"/>
          <w:color w:val="auto"/>
        </w:rPr>
      </w:pPr>
    </w:p>
    <w:p>
      <w:pPr>
        <w:jc w:val="both"/>
        <w:ind w:left="544" w:right="40" w:hanging="544"/>
        <w:spacing w:after="0" w:line="258" w:lineRule="auto"/>
        <w:tabs>
          <w:tab w:leader="none" w:pos="5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shall be issued under the Seal or a facsimile thereof and shall specify the number and class and distinguishing 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spacing w:after="0" w:line="89" w:lineRule="exact"/>
        <w:rPr>
          <w:sz w:val="20"/>
          <w:szCs w:val="20"/>
          <w:color w:val="auto"/>
        </w:rPr>
      </w:pPr>
    </w:p>
    <w:p>
      <w:pPr>
        <w:ind w:left="544" w:right="100" w:hanging="539"/>
        <w:spacing w:after="0" w:line="282" w:lineRule="auto"/>
        <w:rPr>
          <w:sz w:val="20"/>
          <w:szCs w:val="20"/>
          <w:color w:val="auto"/>
        </w:rPr>
      </w:pPr>
      <w:r>
        <w:rPr>
          <w:rFonts w:ascii="Times New Roman" w:cs="Times New Roman" w:eastAsia="Times New Roman" w:hAnsi="Times New Roman"/>
          <w:sz w:val="18"/>
          <w:szCs w:val="18"/>
          <w:color w:val="auto"/>
        </w:rPr>
        <w:t>16. (1) In the case of a share held jointly by several persons, the Company shall not be bound to issue more than one certificate therefor and delivery of a certificate to one of several joint holders shall be sufficient delivery to all such holders.</w:t>
      </w:r>
    </w:p>
    <w:p>
      <w:pPr>
        <w:spacing w:after="0" w:line="67" w:lineRule="exact"/>
        <w:rPr>
          <w:sz w:val="20"/>
          <w:szCs w:val="20"/>
          <w:color w:val="auto"/>
        </w:rPr>
      </w:pPr>
    </w:p>
    <w:p>
      <w:pPr>
        <w:ind w:left="964" w:right="240" w:hanging="532"/>
        <w:spacing w:after="0" w:line="266"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share stands in the names of two or more persons, the person first named in the Register shall as regards service of notices and, subject to the provisions of these Articles, all or any other matters connected with the Company, except the transfer of the shares, be deemed the sole holder thereof.</w:t>
      </w:r>
    </w:p>
    <w:p>
      <w:pPr>
        <w:spacing w:after="0" w:line="81" w:lineRule="exact"/>
        <w:rPr>
          <w:rFonts w:ascii="Times New Roman" w:cs="Times New Roman" w:eastAsia="Times New Roman" w:hAnsi="Times New Roman"/>
          <w:sz w:val="18"/>
          <w:szCs w:val="18"/>
          <w:color w:val="auto"/>
        </w:rPr>
      </w:pPr>
    </w:p>
    <w:p>
      <w:pPr>
        <w:ind w:left="544" w:right="60" w:hanging="544"/>
        <w:spacing w:after="0" w:line="266" w:lineRule="auto"/>
        <w:tabs>
          <w:tab w:leader="none" w:pos="5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upon an allotment of shares, as a Member in the Register shall be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w:t>
      </w:r>
    </w:p>
    <w:p>
      <w:pPr>
        <w:spacing w:after="0" w:line="81" w:lineRule="exact"/>
        <w:rPr>
          <w:rFonts w:ascii="Times New Roman" w:cs="Times New Roman" w:eastAsia="Times New Roman" w:hAnsi="Times New Roman"/>
          <w:sz w:val="18"/>
          <w:szCs w:val="18"/>
          <w:color w:val="auto"/>
        </w:rPr>
      </w:pPr>
    </w:p>
    <w:p>
      <w:pPr>
        <w:jc w:val="both"/>
        <w:ind w:left="544" w:right="180" w:hanging="544"/>
        <w:spacing w:after="0" w:line="266" w:lineRule="auto"/>
        <w:tabs>
          <w:tab w:leader="none" w:pos="5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shall be issued within the relevant time limit as prescribed by the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81" w:lineRule="exact"/>
        <w:rPr>
          <w:sz w:val="20"/>
          <w:szCs w:val="20"/>
          <w:color w:val="auto"/>
        </w:rPr>
      </w:pPr>
    </w:p>
    <w:p>
      <w:pPr>
        <w:ind w:left="544" w:hanging="539"/>
        <w:spacing w:after="0" w:line="261" w:lineRule="auto"/>
        <w:rPr>
          <w:sz w:val="20"/>
          <w:szCs w:val="20"/>
          <w:color w:val="auto"/>
        </w:rPr>
      </w:pPr>
      <w:r>
        <w:rPr>
          <w:rFonts w:ascii="Times New Roman" w:cs="Times New Roman" w:eastAsia="Times New Roman" w:hAnsi="Times New Roman"/>
          <w:sz w:val="18"/>
          <w:szCs w:val="18"/>
          <w:color w:val="auto"/>
        </w:rPr>
        <w:t>19. (1) 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85" w:lineRule="exact"/>
        <w:rPr>
          <w:sz w:val="20"/>
          <w:szCs w:val="20"/>
          <w:color w:val="auto"/>
        </w:rPr>
      </w:pPr>
    </w:p>
    <w:p>
      <w:pPr>
        <w:ind w:left="964" w:right="540" w:hanging="532"/>
        <w:spacing w:after="0" w:line="282" w:lineRule="auto"/>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referred to in paragraph (1) above shall be an amount not exceeding the relevant maximum amount as the Designated Stock Exchange may from time to time determine; provided that the Board may at any time determine a lower amount for such fee.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6" w:right="459" w:bottom="1440" w:gutter="0" w:footer="0" w:header="0"/>
        </w:sectPr>
      </w:pPr>
    </w:p>
    <w:bookmarkStart w:id="39" w:name="page40"/>
    <w:bookmarkEnd w:id="39"/>
    <w:p>
      <w:pPr>
        <w:ind w:left="424" w:right="20" w:hanging="424"/>
        <w:spacing w:after="0" w:line="25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share certificate shall be damaged or defaced or alleged to have been lost, stolen or destroyed a new certificate representing the same shares may be issued to the relevant Member upon request and on payment of such fee as the Company may determine and, subject to compliance with such terms (if any) as to evidence and indemnity and to payment of the costs and reasonable out-of-pocket expenses of the Company in investigating such evidence and preparing such indemnity as the Board may think fit and, in case of damage or defacement, on delivery of the old certificate to the Company provided always that where share warrants have been issued, no new share warrant shall be issued to replace one that has been lost unless the Board has determined that the original has been destroyed.</w:t>
      </w:r>
    </w:p>
    <w:p>
      <w:pPr>
        <w:spacing w:after="0" w:line="39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56" w:lineRule="exact"/>
        <w:rPr>
          <w:sz w:val="20"/>
          <w:szCs w:val="20"/>
          <w:color w:val="auto"/>
        </w:rPr>
      </w:pPr>
    </w:p>
    <w:p>
      <w:pPr>
        <w:ind w:left="424" w:hanging="424"/>
        <w:spacing w:after="0" w:line="254"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on every share (not being a fully paid share) for all moneys (whether presently payable or not) called or payable at a fixed time in respect of that share. The Company shall also have a first and paramount lien on every share (not being a fully paid share) registered in the name of a Member (whether or not jointly with other Members) for all amounts of money presently payable by such Member or his estate to the Company whether the same shall have been incurred before or after notice to the Company of any equitable or other interest of any person other than such member, and whether the period for the payment or discharge of the same shall have actually arrived or not, and notwithstanding that the same are joint debts or liabilities of such Member or his estate and any other person, whether a Member of the Company or not.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w:t>
      </w:r>
    </w:p>
    <w:p>
      <w:pPr>
        <w:spacing w:after="0" w:line="93"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sell in such manner as the Board determines any share on which the Company has a lien, but no sale shall be made unless some sum in respect of which the lien exists is presently payable, or the liability or engagement in respect of which such lien exists is liable to be presently fulfilled or discharged nor until the expiration of fourteen (14) clear days after a notice in writing, stating and demanding payment of the sum presently payable, or specifying the liability or engagement and demanding fulfilment or discharge thereof and giving notice of the intention to sell in default, has been served on the registered holder for the time being of the share or the person entitled thereto by reason of his death or bankruptcy.</w:t>
      </w:r>
    </w:p>
    <w:p>
      <w:pPr>
        <w:spacing w:after="0" w:line="92"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sale shall be received by the Company and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To give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or invalidity in the proceedings relating to the sale.</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4"/>
          </w:cols>
          <w:pgMar w:left="436" w:top="270" w:right="519" w:bottom="1440" w:gutter="0" w:footer="0" w:header="0"/>
        </w:sectPr>
      </w:pPr>
    </w:p>
    <w:bookmarkStart w:id="40" w:name="page41"/>
    <w:bookmarkEnd w:id="4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CALLS ON SHARES</w:t>
      </w:r>
    </w:p>
    <w:p>
      <w:pPr>
        <w:spacing w:after="0" w:line="256" w:lineRule="exact"/>
        <w:rPr>
          <w:sz w:val="20"/>
          <w:szCs w:val="20"/>
          <w:color w:val="auto"/>
        </w:rPr>
      </w:pPr>
    </w:p>
    <w:p>
      <w:pPr>
        <w:ind w:left="424" w:right="200" w:hanging="424"/>
        <w:spacing w:after="0" w:line="258"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the terms of allotment, the Board may from time to time make calls upon the Members in respect of any moneys unpaid on their shares (whether on account of the nominal value of the shares or by way of premium), and each Member shall (subject to being given at least fourteen (14) clear days’ Notice specifying the time and place of payment) pay to the Company as required by such notice the amount called on his shares. A call may be extended, postponed or revoked in whole or in part as the Board determines but no Member shall be entitled to any such extension, postponement or revocation except as a matter of grace and favour.</w:t>
      </w:r>
    </w:p>
    <w:p>
      <w:pPr>
        <w:spacing w:after="0" w:line="88"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shall be deemed to have been made at the time when the resolution of the Board authorising the call was passed and may be made payable either in one lump sum or by instalments.</w:t>
      </w:r>
    </w:p>
    <w:p>
      <w:pPr>
        <w:spacing w:after="0" w:line="67"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upon whom a call is made shall remain liable for calls made upon him notwithstanding the subsequent transfer of the shares in respect of which the call was made. The joint holders of a share shall be jointly and severally liable to pay all calls and instalments due in respect thereof or other moneys due in respect thereof.</w:t>
      </w:r>
    </w:p>
    <w:p>
      <w:pPr>
        <w:spacing w:after="0" w:line="81"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on the amount unpaid from the day appointed for payment thereof to the time of actual payment at such rate (not exceeding twenty percent (20%) per annum) as the Board may determine, but the Board may in its absolute discretion waive payment of such interest wholly or in part.</w:t>
      </w:r>
    </w:p>
    <w:p>
      <w:pPr>
        <w:spacing w:after="0" w:line="81"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receive any dividend or bonus or to be Present and vote (save as proxy for another Member) at any general meeting either personally or by proxy, or be reckoned in a quorum, or exercise any other privilege as a Member until all calls or installments due by him to the Company, whether alone or jointly with any other person, together with interest and expenses (if any) shall have been paid.</w:t>
      </w:r>
    </w:p>
    <w:p>
      <w:pPr>
        <w:spacing w:after="0" w:line="81"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88"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in respect of a share upon allotment or at any fixed date, whether in respect of nominal value or premium or as an instalment of a call, shall be deemed to be a call duly made and payable on the date fixed for payment and if it is not paid the provisions of these Articles shall apply as if that amount had become due and payable by virtue of a call duly made and notified.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66" w:right="459" w:bottom="1440" w:gutter="0" w:footer="0" w:header="0"/>
        </w:sectPr>
      </w:pPr>
    </w:p>
    <w:bookmarkStart w:id="41" w:name="page42"/>
    <w:bookmarkEnd w:id="41"/>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issue of shares the Board may differentiate between the allottees or holders as to the amount of calls to be paid and the times of payment.</w:t>
      </w:r>
    </w:p>
    <w:p>
      <w:pPr>
        <w:spacing w:after="0" w:line="130"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if it thinks fit, receive from any Member willing to advance the same, and either in money or money’s worth, all or any part of the moneys uncalled and unpaid or instalments payable upon any shares held by him and upon all or any of the moneys so advanced (until the same would, but for such advance, become presently payable) pay interest at such rate (if any) as the Board may decide. The Board may at any time repay the amount so advanced upon giving to such Member not less than one (1)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5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33.    (1)</w:t>
      </w:r>
      <w:r>
        <w:rPr>
          <w:sz w:val="20"/>
          <w:szCs w:val="20"/>
          <w:color w:val="auto"/>
        </w:rPr>
        <w:tab/>
      </w:r>
      <w:r>
        <w:rPr>
          <w:rFonts w:ascii="Times New Roman" w:cs="Times New Roman" w:eastAsia="Times New Roman" w:hAnsi="Times New Roman"/>
          <w:sz w:val="17"/>
          <w:szCs w:val="17"/>
          <w:color w:val="auto"/>
        </w:rPr>
        <w:t>If a call remains unpaid after it has become due and payable the Board may give to the person from whom it is due not less than fourteen</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(14) clear days’ Notice:</w:t>
      </w:r>
    </w:p>
    <w:p>
      <w:pPr>
        <w:spacing w:after="0" w:line="112" w:lineRule="exact"/>
        <w:rPr>
          <w:sz w:val="20"/>
          <w:szCs w:val="20"/>
          <w:color w:val="auto"/>
        </w:rPr>
      </w:pPr>
    </w:p>
    <w:p>
      <w:pPr>
        <w:ind w:left="1424" w:right="300" w:hanging="439"/>
        <w:spacing w:after="0" w:line="282" w:lineRule="auto"/>
        <w:tabs>
          <w:tab w:leader="none" w:pos="142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payment of the amount unpaid together with any interest which may have accrued and which may still accrue up to the date of actual payment; and</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if the Notice is not complied with the shares on which the call was made will be liable to be forfeited.</w:t>
      </w:r>
    </w:p>
    <w:p>
      <w:pPr>
        <w:spacing w:after="0" w:line="130"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are not complied with, any share in respect of which such Notice has been given may at any time thereafter, before payment of all calls and interest due in respect thereof has been made, be forfeited by a resolution of the Board to that effect, and such forfeiture shall include all dividends and bonuses declared in respect of the forfeited share but not actually paid before the forfeiture.</w:t>
      </w:r>
    </w:p>
    <w:p>
      <w:pPr>
        <w:spacing w:after="0" w:line="85"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share has been forfeited, notice of the forfeiture shall be served upon the person who was before forfeiture the holder of the share. No forfeiture shall be invalidated by any omission or neglect to give such Notice.</w:t>
      </w:r>
    </w:p>
    <w:p>
      <w:pPr>
        <w:spacing w:after="0" w:line="67"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accept the surrender of any share liable to be forfeited hereunder and, in such case, references in these Articles to forfeiture will include surrender.</w:t>
      </w:r>
    </w:p>
    <w:p>
      <w:pPr>
        <w:spacing w:after="0" w:line="67"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so forfeited shall be deemed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70" w:right="479" w:bottom="1440" w:gutter="0" w:footer="0" w:header="0"/>
        </w:sectPr>
      </w:pPr>
    </w:p>
    <w:bookmarkStart w:id="42" w:name="page43"/>
    <w:bookmarkEnd w:id="42"/>
    <w:p>
      <w:pPr>
        <w:ind w:left="424" w:hanging="424"/>
        <w:spacing w:after="0" w:line="253"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person whose shares have been forfeited shall cease to be a Member in respect of the forfeited shares but nevertheless shall remain liable to pay the Company all moneys which at the date of forfeiture were presently payable by him to the Company in respect of the shares, with (if the Directors shall in their discretion so require) interest thereon from the date of forfeiture until payment at such rate (not exceeding twenty percent (20%) per annum) as the Board determines. The Board may enforce payment thereof if it thinks fit, and without any deduction or allowance for the value of the forfeited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time has not yet arrived be deemed to be payable at the date of forfeiture, and the same shall become due and payable immediately upon the forfeiture, but interest thereon shall only be payable in respect of any period between the said fixed time and the date of actual payment.</w:t>
      </w:r>
    </w:p>
    <w:p>
      <w:pPr>
        <w:spacing w:after="0" w:line="99"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by the Company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sale or disposal of the share. When any share shall have been forfeited, notice of the declaration shall be given to the Member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p>
      <w:pPr>
        <w:spacing w:after="0" w:line="97" w:lineRule="exact"/>
        <w:rPr>
          <w:rFonts w:ascii="Times New Roman" w:cs="Times New Roman" w:eastAsia="Times New Roman" w:hAnsi="Times New Roman"/>
          <w:sz w:val="18"/>
          <w:szCs w:val="18"/>
          <w:color w:val="auto"/>
        </w:rPr>
      </w:pPr>
    </w:p>
    <w:p>
      <w:pPr>
        <w:jc w:val="both"/>
        <w:ind w:left="424" w:right="300" w:hanging="424"/>
        <w:spacing w:after="0" w:line="266"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such forfeiture as aforesaid the Board may at any time, before any shares so forfeited shall have been sold, re-allotted or otherwise disposed of, permit the shares forfeited to be bought back upon the terms of payment of all calls and interest due upon and expenses incurred in respect of the share, and upon such further terms (if any) as it thinks fit.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forfeiture of a share shall not prejudice the right of the Company to any call already made or instalment payable thereon.</w:t>
      </w:r>
    </w:p>
    <w:p>
      <w:pPr>
        <w:spacing w:after="0" w:line="130"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4"/>
          </w:cols>
          <w:pgMar w:left="436" w:top="270" w:right="499" w:bottom="1440" w:gutter="0" w:footer="0" w:header="0"/>
        </w:sectPr>
      </w:pPr>
    </w:p>
    <w:bookmarkStart w:id="43" w:name="page44"/>
    <w:bookmarkEnd w:id="43"/>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REGISTER OF MEMBERS</w:t>
      </w:r>
    </w:p>
    <w:p>
      <w:pPr>
        <w:spacing w:after="0" w:line="25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42.    (1)</w:t>
      </w:r>
      <w:r>
        <w:rPr>
          <w:sz w:val="20"/>
          <w:szCs w:val="20"/>
          <w:color w:val="auto"/>
        </w:rPr>
        <w:tab/>
      </w:r>
      <w:r>
        <w:rPr>
          <w:rFonts w:ascii="Times New Roman" w:cs="Times New Roman" w:eastAsia="Times New Roman" w:hAnsi="Times New Roman"/>
          <w:sz w:val="18"/>
          <w:szCs w:val="18"/>
          <w:color w:val="auto"/>
        </w:rPr>
        <w:t>The Company shall keep in one or more books a Register and shall enter therein the following particulars, that is to say:</w:t>
      </w:r>
    </w:p>
    <w:p>
      <w:pPr>
        <w:spacing w:after="0" w:line="131" w:lineRule="exact"/>
        <w:rPr>
          <w:sz w:val="20"/>
          <w:szCs w:val="20"/>
          <w:color w:val="auto"/>
        </w:rPr>
      </w:pPr>
    </w:p>
    <w:p>
      <w:pPr>
        <w:ind w:left="1424" w:right="160" w:hanging="439"/>
        <w:spacing w:after="0" w:line="282" w:lineRule="auto"/>
        <w:tabs>
          <w:tab w:leader="none" w:pos="142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Member, the number and class of shares held by him and the amount paid or agreed to be considered as paid on such shares;</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person was entered in the Register; and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130"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keep an overseas or local or other branch register of Members resident in any place, and the Board may make and vary such regulations as it determines in respect of the keeping of any such register and maintaining a Registration Office in connection therewith.</w:t>
      </w:r>
    </w:p>
    <w:p>
      <w:pPr>
        <w:spacing w:after="0" w:line="81"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and branch register of Members, as the case may be, shall be open to inspection for such times and on such days as the Board shall determine by Members without charge or by any other person, upon a maximum payment of US$2.50 or such other sum specified by the Board, at the Office or Registration Office or such other place at which the Register is kept in accordance with the Act. The Register including any overseas or local or other branch register of Members may, after compliance with any notice requirement of the Designated Stock Exchange, as applicable to the Company, or by any Electronic means in such manner as may be accepted by the Designated Stock Exchange to that effect, be closed at such times or for such periods not exceeding in the whole thirty (30) days in each year as the Board may determine and either generally or in respect of any class of shares.</w:t>
      </w:r>
    </w:p>
    <w:p>
      <w:pPr>
        <w:spacing w:after="0" w:line="200" w:lineRule="exact"/>
        <w:rPr>
          <w:sz w:val="20"/>
          <w:szCs w:val="20"/>
          <w:color w:val="auto"/>
        </w:rPr>
      </w:pPr>
    </w:p>
    <w:p>
      <w:pPr>
        <w:spacing w:after="0" w:line="2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56" w:lineRule="exact"/>
        <w:rPr>
          <w:sz w:val="20"/>
          <w:szCs w:val="20"/>
          <w:color w:val="auto"/>
        </w:rPr>
      </w:pPr>
    </w:p>
    <w:p>
      <w:pPr>
        <w:ind w:left="424" w:right="280" w:hanging="424"/>
        <w:spacing w:after="0" w:line="258"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the Members entitled to notice of or to vote at any general meeting, or any adjournment thereof, or entitled to receive payment of any dividend or other distribution or allotment of any rights, or entitled to exercise any rights in respect of any change, conversion or exchange of shares or for the purpose of any other lawful action, the Board may fix, in advance, a date as the record date for any such determination of Members, which date shall not be more than sixty (60) days nor less than fourteen (14) days before the date of such meeting, nor more than sixty (60) days prior to any other such action.</w:t>
      </w:r>
    </w:p>
    <w:p>
      <w:pPr>
        <w:spacing w:after="0" w:line="75" w:lineRule="exact"/>
        <w:rPr>
          <w:rFonts w:ascii="Times New Roman" w:cs="Times New Roman" w:eastAsia="Times New Roman" w:hAnsi="Times New Roman"/>
          <w:sz w:val="18"/>
          <w:szCs w:val="18"/>
          <w:color w:val="auto"/>
        </w:rPr>
      </w:pPr>
    </w:p>
    <w:p>
      <w:pPr>
        <w:ind w:left="444" w:right="1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the Board does not fix a record date for any general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The record date for determining the Members for any other purpose shall be at the close of business on the day on which the Board adopts the resolution relating thereto.</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66" w:right="479" w:bottom="1440" w:gutter="0" w:footer="0" w:header="0"/>
        </w:sectPr>
      </w:pPr>
    </w:p>
    <w:bookmarkStart w:id="44" w:name="page45"/>
    <w:bookmarkEnd w:id="44"/>
    <w:p>
      <w:pPr>
        <w:ind w:left="444"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determination of the Members of record entitled to notice of or to vote at a meeting of the Members shall apply to any adjournment of the meeting; </w:t>
      </w:r>
      <w:r>
        <w:rPr>
          <w:rFonts w:ascii="Times New Roman" w:cs="Times New Roman" w:eastAsia="Times New Roman" w:hAnsi="Times New Roman"/>
          <w:sz w:val="18"/>
          <w:szCs w:val="18"/>
          <w:b w:val="1"/>
          <w:bCs w:val="1"/>
          <w:color w:val="auto"/>
        </w:rPr>
        <w:t>provided, however</w:t>
      </w:r>
      <w:r>
        <w:rPr>
          <w:rFonts w:ascii="Times New Roman" w:cs="Times New Roman" w:eastAsia="Times New Roman" w:hAnsi="Times New Roman"/>
          <w:sz w:val="18"/>
          <w:szCs w:val="18"/>
          <w:color w:val="auto"/>
        </w:rPr>
        <w:t>, that the Board may fix a new record date for the adjourned meeting.</w:t>
      </w:r>
    </w:p>
    <w:p>
      <w:pPr>
        <w:spacing w:after="0" w:line="37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56" w:lineRule="exact"/>
        <w:rPr>
          <w:sz w:val="20"/>
          <w:szCs w:val="20"/>
          <w:color w:val="auto"/>
        </w:rPr>
      </w:pPr>
    </w:p>
    <w:p>
      <w:pPr>
        <w:ind w:left="424" w:right="100" w:hanging="424"/>
        <w:spacing w:after="0" w:line="261"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p>
      <w:pPr>
        <w:spacing w:after="0" w:line="85" w:lineRule="exact"/>
        <w:rPr>
          <w:rFonts w:ascii="Times New Roman" w:cs="Times New Roman" w:eastAsia="Times New Roman" w:hAnsi="Times New Roman"/>
          <w:sz w:val="18"/>
          <w:szCs w:val="18"/>
          <w:color w:val="auto"/>
        </w:rPr>
      </w:pPr>
    </w:p>
    <w:p>
      <w:pPr>
        <w:ind w:left="424" w:right="20" w:hanging="424"/>
        <w:spacing w:after="0" w:line="256"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shall be executed by or on behalf of the transferor and the transferee; provided that the Board may dispense with the execution of the instrument of transfer by the transferee in any case which it thinks fit in its discretion to do so. Without prejudice to the last preceding Article,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93" w:lineRule="exact"/>
        <w:rPr>
          <w:sz w:val="20"/>
          <w:szCs w:val="20"/>
          <w:color w:val="auto"/>
        </w:rPr>
      </w:pPr>
    </w:p>
    <w:p>
      <w:pPr>
        <w:ind w:left="984" w:right="240" w:hanging="984"/>
        <w:spacing w:after="0" w:line="258" w:lineRule="auto"/>
        <w:tabs>
          <w:tab w:leader="none" w:pos="964" w:val="left"/>
        </w:tabs>
        <w:rPr>
          <w:sz w:val="20"/>
          <w:szCs w:val="20"/>
          <w:color w:val="auto"/>
        </w:rPr>
      </w:pPr>
      <w:r>
        <w:rPr>
          <w:rFonts w:ascii="Times New Roman" w:cs="Times New Roman" w:eastAsia="Times New Roman" w:hAnsi="Times New Roman"/>
          <w:sz w:val="18"/>
          <w:szCs w:val="18"/>
          <w:color w:val="auto"/>
        </w:rPr>
        <w:t>47.    (1)</w:t>
      </w:r>
      <w:r>
        <w:rPr>
          <w:sz w:val="20"/>
          <w:szCs w:val="20"/>
          <w:color w:val="auto"/>
        </w:rPr>
        <w:tab/>
      </w:r>
      <w:r>
        <w:rPr>
          <w:rFonts w:ascii="Times New Roman" w:cs="Times New Roman" w:eastAsia="Times New Roman" w:hAnsi="Times New Roman"/>
          <w:sz w:val="18"/>
          <w:szCs w:val="18"/>
          <w:color w:val="auto"/>
        </w:rPr>
        <w:t>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joint holders or a transfer of any share (not being a fully paid up share) on which the Company has a lien.</w:t>
      </w:r>
    </w:p>
    <w:p>
      <w:pPr>
        <w:spacing w:after="0" w:line="89" w:lineRule="exact"/>
        <w:rPr>
          <w:sz w:val="20"/>
          <w:szCs w:val="20"/>
          <w:color w:val="auto"/>
        </w:rPr>
      </w:pPr>
    </w:p>
    <w:p>
      <w:pPr>
        <w:jc w:val="both"/>
        <w:ind w:left="964" w:hanging="532"/>
        <w:spacing w:after="0" w:line="289" w:lineRule="auto"/>
        <w:tabs>
          <w:tab w:leader="none" w:pos="96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p>
      <w:pPr>
        <w:spacing w:after="0" w:line="63" w:lineRule="exact"/>
        <w:rPr>
          <w:rFonts w:ascii="Times New Roman" w:cs="Times New Roman" w:eastAsia="Times New Roman" w:hAnsi="Times New Roman"/>
          <w:sz w:val="17"/>
          <w:szCs w:val="17"/>
          <w:color w:val="auto"/>
        </w:rPr>
      </w:pPr>
    </w:p>
    <w:p>
      <w:pPr>
        <w:ind w:left="964" w:right="60" w:hanging="532"/>
        <w:spacing w:after="0" w:line="256"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Act.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70" w:right="479" w:bottom="1440" w:gutter="0" w:footer="0" w:header="0"/>
        </w:sectPr>
      </w:pPr>
    </w:p>
    <w:bookmarkStart w:id="45" w:name="page46"/>
    <w:bookmarkEnd w:id="45"/>
    <w:p>
      <w:pPr>
        <w:ind w:left="424" w:right="4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the last preceding Article, the Board may decline to recognise any instrument of transfer if any of the following conditions are not met:</w:t>
      </w:r>
    </w:p>
    <w:p>
      <w:pPr>
        <w:spacing w:after="0" w:line="67"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may from time to time require is paid to the Company in respect thereof;</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130" w:lineRule="exact"/>
        <w:rPr>
          <w:rFonts w:ascii="Times New Roman" w:cs="Times New Roman" w:eastAsia="Times New Roman" w:hAnsi="Times New Roman"/>
          <w:sz w:val="18"/>
          <w:szCs w:val="18"/>
          <w:color w:val="auto"/>
        </w:rPr>
      </w:pPr>
    </w:p>
    <w:p>
      <w:pPr>
        <w:ind w:left="964" w:right="360" w:hanging="532"/>
        <w:spacing w:after="0" w:line="261" w:lineRule="auto"/>
        <w:tabs>
          <w:tab w:leader="none" w:pos="9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at the Office or such other place at which the Register is kept in accordance with the Act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instrument of transfer is duly and properly stamped.</w:t>
      </w:r>
    </w:p>
    <w:p>
      <w:pPr>
        <w:spacing w:after="0" w:line="130"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refuses to register a transfer of any share, it shall, within three months after the date on which the transfer was lodged with the Company, send to each of the transferor and transferee notice of the refusal.</w:t>
      </w:r>
    </w:p>
    <w:p>
      <w:pPr>
        <w:spacing w:after="0" w:line="67" w:lineRule="exact"/>
        <w:rPr>
          <w:rFonts w:ascii="Times New Roman" w:cs="Times New Roman" w:eastAsia="Times New Roman" w:hAnsi="Times New Roman"/>
          <w:sz w:val="18"/>
          <w:szCs w:val="18"/>
          <w:color w:val="auto"/>
        </w:rPr>
      </w:pPr>
    </w:p>
    <w:p>
      <w:pPr>
        <w:jc w:val="both"/>
        <w:ind w:left="424" w:right="580" w:hanging="424"/>
        <w:spacing w:after="0" w:line="26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of shares or of any class of shares may, after compliance with any notice requirement of the Designated Stock Exchange, as applicable to the Company, to that effect be suspended at such times and for such periods (not exceeding in the whole thirty (30) days in any year) as the Board may determine.</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56" w:lineRule="exact"/>
        <w:rPr>
          <w:sz w:val="20"/>
          <w:szCs w:val="20"/>
          <w:color w:val="auto"/>
        </w:rPr>
      </w:pPr>
    </w:p>
    <w:p>
      <w:pPr>
        <w:ind w:left="424" w:right="220" w:hanging="424"/>
        <w:spacing w:after="0" w:line="261"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dies, the survivor or survivors where the deceased was a joint holder, and his legal personal representatives where he was a sole or only surviving holder, will be the only persons recognised by the Company as having any title to his interest in the shares; but nothing in this Article will release the estate of a deceased Member (whether sole or joint) from any liability in respect of any share which had been solely or jointly held by him.</w:t>
      </w:r>
    </w:p>
    <w:p>
      <w:pPr>
        <w:spacing w:after="0" w:line="85"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or winding-up of a Member may, upon such evidence as to his title being produced as may be required by the Board, elect either to become the holder of the share or to have some person nominated by him registered as the transferee thereof. If he elects to become the holder he shall notify the Company in writing either at the Registration Office or Office, as the case may be, to that effect. If he elects to have another person registered he shall execute a transfer of the share in favour of that person. The provisions of these Articles relating to the transfer and registration of transfers of shares shall apply to such notice or transfer as aforesaid as if the death or bankruptcy of the Member had not occurred and the notice or transfer were a transfer signed by such Member.</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64"/>
          </w:cols>
          <w:pgMar w:left="436" w:top="270" w:right="499" w:bottom="1440" w:gutter="0" w:footer="0" w:header="0"/>
        </w:sectPr>
      </w:pPr>
    </w:p>
    <w:bookmarkStart w:id="46" w:name="page47"/>
    <w:bookmarkEnd w:id="46"/>
    <w:p>
      <w:pPr>
        <w:ind w:left="424" w:right="40" w:hanging="424"/>
        <w:spacing w:after="0" w:line="261"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person becoming entitled to a share by reason of the death or bankruptcy or winding-up of a Member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74(2) being met, such a person may vote at meetings.</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UNTRACEABLE MEMBERS</w:t>
      </w:r>
    </w:p>
    <w:p>
      <w:pPr>
        <w:spacing w:after="0" w:line="256" w:lineRule="exact"/>
        <w:rPr>
          <w:sz w:val="20"/>
          <w:szCs w:val="20"/>
          <w:color w:val="auto"/>
        </w:rPr>
      </w:pPr>
    </w:p>
    <w:p>
      <w:pPr>
        <w:ind w:left="984" w:right="40" w:hanging="984"/>
        <w:spacing w:after="0" w:line="261" w:lineRule="auto"/>
        <w:tabs>
          <w:tab w:leader="none" w:pos="964" w:val="left"/>
        </w:tabs>
        <w:rPr>
          <w:sz w:val="20"/>
          <w:szCs w:val="20"/>
          <w:color w:val="auto"/>
        </w:rPr>
      </w:pPr>
      <w:r>
        <w:rPr>
          <w:rFonts w:ascii="Times New Roman" w:cs="Times New Roman" w:eastAsia="Times New Roman" w:hAnsi="Times New Roman"/>
          <w:sz w:val="18"/>
          <w:szCs w:val="18"/>
          <w:color w:val="auto"/>
        </w:rPr>
        <w:t>54.    (1)</w:t>
      </w:r>
      <w:r>
        <w:rPr>
          <w:sz w:val="20"/>
          <w:szCs w:val="20"/>
          <w:color w:val="auto"/>
        </w:rPr>
        <w:tab/>
      </w:r>
      <w:r>
        <w:rPr>
          <w:rFonts w:ascii="Times New Roman" w:cs="Times New Roman" w:eastAsia="Times New Roman" w:hAnsi="Times New Roman"/>
          <w:sz w:val="18"/>
          <w:szCs w:val="18"/>
          <w:color w:val="auto"/>
        </w:rPr>
        <w:t>Without prejudice to the rights of the Company under paragraph (2) of this Article,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p>
      <w:pPr>
        <w:spacing w:after="0" w:line="85" w:lineRule="exact"/>
        <w:rPr>
          <w:sz w:val="20"/>
          <w:szCs w:val="20"/>
          <w:color w:val="auto"/>
        </w:rPr>
      </w:pPr>
    </w:p>
    <w:p>
      <w:pPr>
        <w:ind w:left="964" w:right="60" w:hanging="532"/>
        <w:spacing w:after="0" w:line="282" w:lineRule="auto"/>
        <w:tabs>
          <w:tab w:leader="none" w:pos="9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to sell, in such manner as the Board thinks fit, any shares of a Member who is untraceable, but no such sale shall be made unless:</w:t>
      </w:r>
    </w:p>
    <w:p>
      <w:pPr>
        <w:spacing w:after="0" w:line="67" w:lineRule="exact"/>
        <w:rPr>
          <w:rFonts w:ascii="Times New Roman" w:cs="Times New Roman" w:eastAsia="Times New Roman" w:hAnsi="Times New Roman"/>
          <w:sz w:val="18"/>
          <w:szCs w:val="18"/>
          <w:color w:val="auto"/>
        </w:rPr>
      </w:pPr>
    </w:p>
    <w:p>
      <w:pPr>
        <w:jc w:val="both"/>
        <w:ind w:left="1424" w:right="540" w:hanging="439"/>
        <w:spacing w:after="0" w:line="266" w:lineRule="auto"/>
        <w:tabs>
          <w:tab w:leader="none" w:pos="14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or warrants in respect of dividends of the shares in question, being not less than three in total number, for any sum payable in cash to the holder of such shares in respect of them sent during the relevant period in the manner authorised by the Articles have remained uncashed;</w:t>
      </w:r>
    </w:p>
    <w:p>
      <w:pPr>
        <w:spacing w:after="0" w:line="81" w:lineRule="exact"/>
        <w:rPr>
          <w:rFonts w:ascii="Times New Roman" w:cs="Times New Roman" w:eastAsia="Times New Roman" w:hAnsi="Times New Roman"/>
          <w:sz w:val="18"/>
          <w:szCs w:val="18"/>
          <w:color w:val="auto"/>
        </w:rPr>
      </w:pPr>
    </w:p>
    <w:p>
      <w:pPr>
        <w:ind w:left="1424" w:hanging="439"/>
        <w:spacing w:after="0" w:line="266" w:lineRule="auto"/>
        <w:tabs>
          <w:tab w:leader="none" w:pos="14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spacing w:after="0" w:line="81" w:lineRule="exact"/>
        <w:rPr>
          <w:rFonts w:ascii="Times New Roman" w:cs="Times New Roman" w:eastAsia="Times New Roman" w:hAnsi="Times New Roman"/>
          <w:sz w:val="18"/>
          <w:szCs w:val="18"/>
          <w:color w:val="auto"/>
        </w:rPr>
      </w:pPr>
    </w:p>
    <w:p>
      <w:pPr>
        <w:ind w:left="1424" w:right="140" w:hanging="439"/>
        <w:spacing w:after="0" w:line="258" w:lineRule="auto"/>
        <w:tabs>
          <w:tab w:leader="none" w:pos="14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if so required by the rules governing the listing of shares on the Designated Stock Exchange, has given notice to, and caused advertisement in newspapers to be made in accordance with the requirements of, the Designated Stock Exchange, as applicable to the Company, of its intention to sell such shares in the manner required by the Designated Stock Exchange, and a period of three months or such shorter period as may be allowed by the Designated Stock Exchange has elapsed since the date of such advertisement.</w:t>
      </w:r>
    </w:p>
    <w:p>
      <w:pPr>
        <w:spacing w:after="0" w:line="75" w:lineRule="exact"/>
        <w:rPr>
          <w:sz w:val="20"/>
          <w:szCs w:val="20"/>
          <w:color w:val="auto"/>
        </w:rPr>
      </w:pPr>
    </w:p>
    <w:p>
      <w:pPr>
        <w:ind w:left="984" w:right="200"/>
        <w:spacing w:after="0" w:line="282" w:lineRule="auto"/>
        <w:rPr>
          <w:sz w:val="20"/>
          <w:szCs w:val="20"/>
          <w:color w:val="auto"/>
        </w:rPr>
      </w:pPr>
      <w:r>
        <w:rPr>
          <w:rFonts w:ascii="Times New Roman" w:cs="Times New Roman" w:eastAsia="Times New Roman" w:hAnsi="Times New Roman"/>
          <w:sz w:val="18"/>
          <w:szCs w:val="18"/>
          <w:color w:val="auto"/>
        </w:rPr>
        <w:t>For the purpose of the foregoing, the “relevant period” means the period commencing twelve (12) years before the date of publication of the advertisement referred to in paragraph (c) of this Article and ending at the expiry of the period referred to in that paragraph.</w:t>
      </w:r>
    </w:p>
    <w:p>
      <w:pPr>
        <w:spacing w:after="0" w:line="67" w:lineRule="exact"/>
        <w:rPr>
          <w:sz w:val="20"/>
          <w:szCs w:val="20"/>
          <w:color w:val="auto"/>
        </w:rPr>
      </w:pPr>
    </w:p>
    <w:p>
      <w:pPr>
        <w:ind w:left="964" w:right="100" w:hanging="532"/>
        <w:spacing w:after="0" w:line="254" w:lineRule="auto"/>
        <w:tabs>
          <w:tab w:leader="none" w:pos="9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Member holding the shares sold is dead, bankrupt or otherwise under any legal disability or incapacity.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4"/>
          </w:cols>
          <w:pgMar w:left="436" w:top="270" w:right="439" w:bottom="1440" w:gutter="0" w:footer="0" w:header="0"/>
        </w:sectPr>
      </w:pPr>
    </w:p>
    <w:bookmarkStart w:id="47" w:name="page48"/>
    <w:bookmarkEnd w:id="47"/>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MEETINGS</w:t>
      </w:r>
    </w:p>
    <w:p>
      <w:pPr>
        <w:spacing w:after="0" w:line="256" w:lineRule="exact"/>
        <w:rPr>
          <w:sz w:val="20"/>
          <w:szCs w:val="20"/>
          <w:color w:val="auto"/>
        </w:rPr>
      </w:pPr>
    </w:p>
    <w:p>
      <w:pPr>
        <w:ind w:left="424" w:right="200" w:hanging="424"/>
        <w:spacing w:after="0" w:line="258"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a general meeting in each year within six months (or such other period as may be permitted by the Listing Rules or the Designated Stock Exchange) after the end of its financial year as its annual general meeting and shall specify the meeting as such in the notices calling it. The annual general meeting shall be held at such time and place (which, in the case of a Virtual Meeting, includes a virtual place) as may be determined by the Directors. No business shall be transacted at any annual general meeting of the Company unless stated in the Company’s notice of annual general meeting.</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general meeting, other than an annual general meeting, shall be called an extraordinary general meeting.</w:t>
      </w:r>
    </w:p>
    <w:p>
      <w:pPr>
        <w:spacing w:after="0" w:line="131" w:lineRule="exact"/>
        <w:rPr>
          <w:sz w:val="20"/>
          <w:szCs w:val="20"/>
          <w:color w:val="auto"/>
        </w:rPr>
      </w:pPr>
    </w:p>
    <w:p>
      <w:pPr>
        <w:ind w:left="984" w:hanging="984"/>
        <w:spacing w:after="0" w:line="255" w:lineRule="auto"/>
        <w:tabs>
          <w:tab w:leader="none" w:pos="964" w:val="left"/>
        </w:tabs>
        <w:rPr>
          <w:sz w:val="20"/>
          <w:szCs w:val="20"/>
          <w:color w:val="auto"/>
        </w:rPr>
      </w:pPr>
      <w:r>
        <w:rPr>
          <w:rFonts w:ascii="Times New Roman" w:cs="Times New Roman" w:eastAsia="Times New Roman" w:hAnsi="Times New Roman"/>
          <w:sz w:val="18"/>
          <w:szCs w:val="18"/>
          <w:color w:val="auto"/>
        </w:rPr>
        <w:t>57.    (1)</w:t>
      </w:r>
      <w:r>
        <w:rPr>
          <w:sz w:val="20"/>
          <w:szCs w:val="20"/>
          <w:color w:val="auto"/>
        </w:rPr>
        <w:tab/>
      </w:r>
      <w:r>
        <w:rPr>
          <w:rFonts w:ascii="Times New Roman" w:cs="Times New Roman" w:eastAsia="Times New Roman" w:hAnsi="Times New Roman"/>
          <w:sz w:val="18"/>
          <w:szCs w:val="18"/>
          <w:color w:val="auto"/>
        </w:rPr>
        <w:t>Except as provided in paragraph (2) below, only a majority of the Board or the Chairman may call extraordinary general meetings, which extraordinary general meetings shall be held at such times and locations (as permitted hereby) as such person or persons shall determine. The agenda of any extraordinary general meeting shall be set by a majority of the Directors then in office; provided that any Member or Members holding not less than one-tenth (1/10) of the voting rights, on a one vote per share basis, in the capital of the Company may, by written requisition signed by such requisitionist(s), request the Board to add to the agenda resolution(s) to be considered, and if thought fit, approved at the extraordinary general meeting if and to the extent such written requisition states the resolution(s) in reasonable detail and is deposited at the head office of the Company in such manner and within such timeframe as required by the Board.</w:t>
      </w:r>
    </w:p>
    <w:p>
      <w:pPr>
        <w:spacing w:after="0" w:line="94" w:lineRule="exact"/>
        <w:rPr>
          <w:sz w:val="20"/>
          <w:szCs w:val="20"/>
          <w:color w:val="auto"/>
        </w:rPr>
      </w:pPr>
    </w:p>
    <w:p>
      <w:pPr>
        <w:ind w:left="964" w:right="40" w:hanging="532"/>
        <w:spacing w:after="0" w:line="255" w:lineRule="auto"/>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meetings, whether annual general meetings or extraordinary general meetings, shall also be convened on the requisition in writing of any Member or Members holding not less than one-tenth (1/10) of the voting rights, on a one vote per share basis, in the capital of the Company, specifying the objects of the meeting signed by the requisitionists, and if the Directors do not convene such meeting for a date not later than forty-five (45) days after the date of such deposit, the requisitionists themselves may convene the general meeting in the same manner, as nearly as possible, as that in which general meetings may be convened by the Directors, and all reasonable expenses incurred by the requisitionists as a result of the failure of the Directors to convene the general meeting shall be reimbursed to them by the Company.</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4"/>
          </w:cols>
          <w:pgMar w:left="436" w:top="266" w:right="479" w:bottom="1440" w:gutter="0" w:footer="0" w:header="0"/>
        </w:sectPr>
      </w:pPr>
    </w:p>
    <w:bookmarkStart w:id="48" w:name="page49"/>
    <w:bookmarkEnd w:id="48"/>
    <w:p>
      <w:pPr>
        <w:ind w:left="964" w:right="80" w:hanging="532"/>
        <w:spacing w:after="0" w:line="266" w:lineRule="auto"/>
        <w:tabs>
          <w:tab w:leader="none" w:pos="9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Directors may make Communication Facilities available for an annual or extraordinary general meeting of the Company so that members and other participants may attend and participate at such general meetings by means of such Communication Facilities. Without limiting the generality of the foregoing, the Directors may determine that any general meeting may be held as a Virtual Meeting.</w:t>
      </w:r>
    </w:p>
    <w:p>
      <w:pPr>
        <w:spacing w:after="0" w:line="38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56" w:lineRule="exact"/>
        <w:rPr>
          <w:sz w:val="20"/>
          <w:szCs w:val="20"/>
          <w:color w:val="auto"/>
        </w:rPr>
      </w:pPr>
    </w:p>
    <w:p>
      <w:pPr>
        <w:ind w:left="984" w:right="120" w:hanging="984"/>
        <w:spacing w:after="0" w:line="282" w:lineRule="auto"/>
        <w:tabs>
          <w:tab w:leader="none" w:pos="964" w:val="left"/>
        </w:tabs>
        <w:rPr>
          <w:sz w:val="20"/>
          <w:szCs w:val="20"/>
          <w:color w:val="auto"/>
        </w:rPr>
      </w:pPr>
      <w:r>
        <w:rPr>
          <w:rFonts w:ascii="Times New Roman" w:cs="Times New Roman" w:eastAsia="Times New Roman" w:hAnsi="Times New Roman"/>
          <w:sz w:val="18"/>
          <w:szCs w:val="18"/>
          <w:color w:val="auto"/>
        </w:rPr>
        <w:t>58.    (1)</w:t>
      </w:r>
      <w:r>
        <w:rPr>
          <w:sz w:val="20"/>
          <w:szCs w:val="20"/>
          <w:color w:val="auto"/>
        </w:rPr>
        <w:tab/>
      </w:r>
      <w:r>
        <w:rPr>
          <w:rFonts w:ascii="Times New Roman" w:cs="Times New Roman" w:eastAsia="Times New Roman" w:hAnsi="Times New Roman"/>
          <w:sz w:val="18"/>
          <w:szCs w:val="18"/>
          <w:color w:val="auto"/>
        </w:rPr>
        <w:t>At least twenty-one (21) clear days’ Notice shall be given of an annual general meeting and at least fourteen (14) clear days’ Notice shall be given of any other general meeting, but a general meeting may be called by shorter notice, subject to the Act, if it is so agreed:</w:t>
      </w:r>
    </w:p>
    <w:p>
      <w:pPr>
        <w:spacing w:after="0" w:line="67" w:lineRule="exact"/>
        <w:rPr>
          <w:sz w:val="20"/>
          <w:szCs w:val="20"/>
          <w:color w:val="auto"/>
        </w:rPr>
      </w:pPr>
    </w:p>
    <w:p>
      <w:pPr>
        <w:ind w:left="1424" w:hanging="439"/>
        <w:spacing w:after="0"/>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meeting called as an annual general meeting, by all the Members entitled to attend and vote thereat; and</w:t>
      </w:r>
    </w:p>
    <w:p>
      <w:pPr>
        <w:spacing w:after="0" w:line="130" w:lineRule="exact"/>
        <w:rPr>
          <w:rFonts w:ascii="Times New Roman" w:cs="Times New Roman" w:eastAsia="Times New Roman" w:hAnsi="Times New Roman"/>
          <w:sz w:val="18"/>
          <w:szCs w:val="18"/>
          <w:color w:val="auto"/>
        </w:rPr>
      </w:pPr>
    </w:p>
    <w:p>
      <w:pPr>
        <w:ind w:left="1424" w:right="200" w:hanging="439"/>
        <w:spacing w:after="0" w:line="282" w:lineRule="auto"/>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together holding not less than two-thirds (2/3) of the voting share capital of the Company deposited at the Office.</w:t>
      </w:r>
    </w:p>
    <w:p>
      <w:pPr>
        <w:spacing w:after="0" w:line="67"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specify the time and place (which, in the case of a Virtual Meeting, includes a virtual place) of the meeting and, in case of special business, the general nature of the business. The notice convening an annual general meeting shall specify the meeting as such. Notice of every general meeting shall be given to all Members other than to such Members as, under the provisions of these Articles or the terms of issue of the shares they hold, are not entitled to receive such notices from the Company, to all persons entitled to a share in consequence of the death or bankruptcy or winding-up of a Member and to each of the Directors and the Auditors.</w:t>
      </w:r>
    </w:p>
    <w:p>
      <w:pPr>
        <w:spacing w:after="0" w:line="88" w:lineRule="exact"/>
        <w:rPr>
          <w:rFonts w:ascii="Times New Roman" w:cs="Times New Roman" w:eastAsia="Times New Roman" w:hAnsi="Times New Roman"/>
          <w:sz w:val="18"/>
          <w:szCs w:val="18"/>
          <w:color w:val="auto"/>
        </w:rPr>
      </w:pPr>
    </w:p>
    <w:p>
      <w:pPr>
        <w:ind w:left="964" w:right="100" w:hanging="532"/>
        <w:spacing w:after="0" w:line="266"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any general meeting at which Communication Facilities will be utilised (including any Virtual Meeting) shall specify the Communication Facilities that will be utilised, including the procedures to be followed by any Member or other participant of the general meeting who wishes to utilise such Communication Facilities for the purpose of attending, participating and voting at such meeting.</w:t>
      </w:r>
    </w:p>
    <w:p>
      <w:pPr>
        <w:spacing w:after="0" w:line="81"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or (in cases where instruments of proxy are sent out with the Notice) to send such instrument of proxy to, or the non-receipt of such Notice or such instrument of proxy by, any person entitled to receive such Notice shall not invalidate any resolution passed or the proceedings at that meeting.</w:t>
      </w:r>
    </w:p>
    <w:p>
      <w:pPr>
        <w:spacing w:after="0" w:line="38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56" w:lineRule="exact"/>
        <w:rPr>
          <w:sz w:val="20"/>
          <w:szCs w:val="20"/>
          <w:color w:val="auto"/>
        </w:rPr>
      </w:pPr>
    </w:p>
    <w:p>
      <w:pPr>
        <w:ind w:left="424" w:right="100" w:hanging="424"/>
        <w:spacing w:after="0" w:line="261"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other than the appointment of a chairman of a meeting shall be transacted at any general meeting unless a quorum is Present at the commencement of the business. At any general meeting of the Company, one or more Members entitled to vote and Present representing not less than ten percent (10%) of the voting rights represented by the issued and outstanding voting shares in the Company throughout the meeting shall form a quorum for all purposes.</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4"/>
          </w:cols>
          <w:pgMar w:left="436" w:top="270" w:right="499" w:bottom="1440" w:gutter="0" w:footer="0" w:header="0"/>
        </w:sectPr>
      </w:pPr>
    </w:p>
    <w:bookmarkStart w:id="49" w:name="page50"/>
    <w:bookmarkEnd w:id="49"/>
    <w:p>
      <w:pPr>
        <w:ind w:left="424" w:right="80" w:hanging="424"/>
        <w:spacing w:after="0" w:line="261"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within thirty (30) minutes (or such longer time not exceeding one hour as the chairman of the meeting may determine to wait) after the time appointed for the meeting a quorum is not Present, the meeting shall stand adjourned to the same day in the next week at the same time and place or to such time and place (which, in the case of a Virtual Meeting, includes a virtual place) as the Board may determine. If at such adjourned meeting a quorum is not Present within half an hour from the time appointed for holding the meeting, the meeting shall be dissolved.</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Company shall preside as chairman at every general meeting. If at any meeting the chairman is not Present within fifteen</w:t>
      </w:r>
    </w:p>
    <w:p>
      <w:pPr>
        <w:spacing w:after="0" w:line="27" w:lineRule="exact"/>
        <w:rPr>
          <w:rFonts w:ascii="Times New Roman" w:cs="Times New Roman" w:eastAsia="Times New Roman" w:hAnsi="Times New Roman"/>
          <w:sz w:val="18"/>
          <w:szCs w:val="18"/>
          <w:color w:val="auto"/>
        </w:rPr>
      </w:pPr>
    </w:p>
    <w:p>
      <w:pPr>
        <w:ind w:left="4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minutes after the time appointed for holding the meeting, or is not willing to act as chairman, the Directors Present shall, subject to Article 124(3), choose one of their number to act, or if one Director only is Present he shall preside as chairman if willing to act. If no Director is Present, or if each of the Directors Present declines to take the chair, or if the chairman chosen shall retire from the chair, the Members Present and entitled to vote shall elect one of their number to be chairman.</w:t>
      </w:r>
    </w:p>
    <w:p>
      <w:pPr>
        <w:spacing w:after="0" w:line="94"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adjourn the meeting from time to time and from place to place (which, in the case of a Virtual Meeting, includes a virtual place), but no business shall be transacted at any adjourned meeting other than the business which might lawfully have been transacted at the meeting had the adjournment not taken place. When a meeting is adjourned for fourteen (14) days or more, at least seven (7) clear days’ notice of the adjourned meeting shall be given specifying the time and place of the adjourned meeting but it shall not be necessary to specify in such notice the nature of the business to be transacted at the adjourned meeting and the general nature of the business to be transacted. Save as aforesaid, it shall be unnecessary to give notice of an adjournment.</w:t>
      </w:r>
    </w:p>
    <w:p>
      <w:pPr>
        <w:spacing w:after="0" w:line="92"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amendment is proposed to any resolution under consideration but is in good faith ruled out of order by the chairman of the meeting, the proceedings on the substantive resolution shall not be invalidated by any error in such ruling. In the case of a resolution duly proposed as a special resolution, no amendment thereto (other than a mere clerical amendment to correct a patent error) may in any event be considered or voted upon.</w:t>
      </w:r>
    </w:p>
    <w:p>
      <w:pPr>
        <w:spacing w:after="0" w:line="81" w:lineRule="exact"/>
        <w:rPr>
          <w:sz w:val="20"/>
          <w:szCs w:val="20"/>
          <w:color w:val="auto"/>
        </w:rPr>
      </w:pPr>
    </w:p>
    <w:p>
      <w:pPr>
        <w:ind w:left="424" w:right="700" w:hanging="431"/>
        <w:spacing w:after="0" w:line="282" w:lineRule="auto"/>
        <w:rPr>
          <w:sz w:val="20"/>
          <w:szCs w:val="20"/>
          <w:color w:val="auto"/>
        </w:rPr>
      </w:pPr>
      <w:r>
        <w:rPr>
          <w:rFonts w:ascii="Times New Roman" w:cs="Times New Roman" w:eastAsia="Times New Roman" w:hAnsi="Times New Roman"/>
          <w:sz w:val="18"/>
          <w:szCs w:val="18"/>
          <w:color w:val="auto"/>
        </w:rPr>
        <w:t>64A. The chairman of any general meeting shall be entitled to attend and participate at any such general meeting by means of Communication Facilities, and to act as the chairman of such general meeting, in which event the following provisions shall apply:</w:t>
      </w:r>
    </w:p>
    <w:p>
      <w:pPr>
        <w:spacing w:after="0" w:line="67" w:lineRule="exact"/>
        <w:rPr>
          <w:sz w:val="20"/>
          <w:szCs w:val="20"/>
          <w:color w:val="auto"/>
        </w:rPr>
      </w:pPr>
    </w:p>
    <w:p>
      <w:pPr>
        <w:ind w:left="964" w:hanging="532"/>
        <w:spacing w:after="0"/>
        <w:tabs>
          <w:tab w:leader="none" w:pos="9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shall be deemed to be Present at the meeting; and</w:t>
      </w:r>
    </w:p>
    <w:p>
      <w:pPr>
        <w:spacing w:after="0" w:line="130" w:lineRule="exact"/>
        <w:rPr>
          <w:rFonts w:ascii="Times New Roman" w:cs="Times New Roman" w:eastAsia="Times New Roman" w:hAnsi="Times New Roman"/>
          <w:sz w:val="18"/>
          <w:szCs w:val="18"/>
          <w:color w:val="auto"/>
        </w:rPr>
      </w:pPr>
    </w:p>
    <w:p>
      <w:pPr>
        <w:ind w:left="964" w:right="180" w:hanging="532"/>
        <w:spacing w:after="0" w:line="258" w:lineRule="auto"/>
        <w:tabs>
          <w:tab w:leader="none" w:pos="9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Communication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(a) if no other Director is Present at the meeting, or (b) if all the Directors Present at the meeting decline to take the chair, then the meeting shall be automatically adjourned to the same day in the next week and at such time and place (whether physical or virtual) as shall be decided by the board of Directors.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64"/>
          </w:cols>
          <w:pgMar w:left="436" w:top="270" w:right="499" w:bottom="1440" w:gutter="0" w:footer="0" w:header="0"/>
        </w:sectPr>
      </w:pPr>
    </w:p>
    <w:bookmarkStart w:id="50" w:name="page51"/>
    <w:bookmarkEnd w:id="5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w:t>
      </w:r>
    </w:p>
    <w:p>
      <w:pPr>
        <w:spacing w:after="0" w:line="25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color w:val="auto"/>
        </w:rPr>
        <w:t>65.    (1)</w:t>
      </w:r>
      <w:r>
        <w:rPr>
          <w:sz w:val="20"/>
          <w:szCs w:val="20"/>
          <w:color w:val="auto"/>
        </w:rPr>
        <w:tab/>
      </w:r>
      <w:r>
        <w:rPr>
          <w:rFonts w:ascii="Times New Roman" w:cs="Times New Roman" w:eastAsia="Times New Roman" w:hAnsi="Times New Roman"/>
          <w:sz w:val="17"/>
          <w:szCs w:val="17"/>
          <w:color w:val="auto"/>
        </w:rPr>
        <w:t>Holders of Ordinary Shares have the right to receive notice of, attend, speak and vote at general meetings of the Company.</w:t>
      </w:r>
    </w:p>
    <w:p>
      <w:pPr>
        <w:spacing w:after="0" w:line="131" w:lineRule="exact"/>
        <w:rPr>
          <w:sz w:val="20"/>
          <w:szCs w:val="20"/>
          <w:color w:val="auto"/>
        </w:rPr>
      </w:pPr>
    </w:p>
    <w:p>
      <w:pPr>
        <w:ind w:left="964" w:right="20" w:hanging="532"/>
        <w:spacing w:after="0" w:line="258" w:lineRule="auto"/>
        <w:tabs>
          <w:tab w:leader="none" w:pos="96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shall at all times vote together as one class on all resolutions submitted to a vote by the Members. At any general meeting on a show of hands, subject to any rights and restrictions for the time being attached to any share (including, for as long as the shares remain listed on the Hong Kong Stock Exchange, applicable rules under the Listing Rules (unless otherwise waived)), every Member holding Ordinary Shares Present shall have one vote and on a poll every Member Present shall have one vote for every fully paid Ordinary Share of which he is the holder.</w:t>
      </w:r>
    </w:p>
    <w:p>
      <w:pPr>
        <w:spacing w:after="0" w:line="88" w:lineRule="exact"/>
        <w:rPr>
          <w:rFonts w:ascii="Times New Roman" w:cs="Times New Roman" w:eastAsia="Times New Roman" w:hAnsi="Times New Roman"/>
          <w:sz w:val="18"/>
          <w:szCs w:val="18"/>
          <w:color w:val="auto"/>
        </w:rPr>
      </w:pPr>
    </w:p>
    <w:p>
      <w:pPr>
        <w:ind w:left="964" w:right="180" w:hanging="532"/>
        <w:spacing w:after="0" w:line="282" w:lineRule="auto"/>
        <w:tabs>
          <w:tab w:leader="none" w:pos="96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paid up or credited as paid up on a share in advance of calls or instalments is treated for the foregoing purposes as paid up on the share.</w:t>
      </w:r>
    </w:p>
    <w:p>
      <w:pPr>
        <w:spacing w:after="0" w:line="67" w:lineRule="exact"/>
        <w:rPr>
          <w:rFonts w:ascii="Times New Roman" w:cs="Times New Roman" w:eastAsia="Times New Roman" w:hAnsi="Times New Roman"/>
          <w:sz w:val="18"/>
          <w:szCs w:val="18"/>
          <w:color w:val="auto"/>
        </w:rPr>
      </w:pPr>
    </w:p>
    <w:p>
      <w:pPr>
        <w:ind w:left="964" w:right="20" w:hanging="532"/>
        <w:spacing w:after="0" w:line="255" w:lineRule="auto"/>
        <w:tabs>
          <w:tab w:leader="none" w:pos="96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these Articles, where more than one proxy is appointed by a Member which is a clearing house or a central depository house (or its nominee(s)), each such proxy shall have one vote on a show of hands. A resolution put to the vote of a meeting shall be decided on a show of hands unless (before or on the declaration of the result of the show of hands or on the withdrawal of any other demand for a poll) a poll is demanded by the chairman of such meeting or by any one Member Present in person or in the case of a Member being a corporation by its duly authorised representative or by proxy for the time being entitled to vote at the meeting. A demand by a person as proxy for a Member or in the case of a Member being a corporation by its duly authorised representative shall be deemed to be the same as a demand by a Member.</w:t>
      </w:r>
    </w:p>
    <w:p>
      <w:pPr>
        <w:spacing w:after="0" w:line="94" w:lineRule="exact"/>
        <w:rPr>
          <w:rFonts w:ascii="Times New Roman" w:cs="Times New Roman" w:eastAsia="Times New Roman" w:hAnsi="Times New Roman"/>
          <w:sz w:val="18"/>
          <w:szCs w:val="18"/>
          <w:color w:val="auto"/>
        </w:rPr>
      </w:pPr>
    </w:p>
    <w:p>
      <w:pPr>
        <w:ind w:left="424" w:right="140" w:hanging="424"/>
        <w:spacing w:after="0" w:line="289" w:lineRule="auto"/>
        <w:tabs>
          <w:tab w:leader="none" w:pos="42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poll is duly demanded and the demand is not withdrawn, a declaration by the chairman that a resolution has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for or against the resolution.</w:t>
      </w:r>
    </w:p>
    <w:p>
      <w:pPr>
        <w:spacing w:after="0" w:line="63" w:lineRule="exact"/>
        <w:rPr>
          <w:rFonts w:ascii="Times New Roman" w:cs="Times New Roman" w:eastAsia="Times New Roman" w:hAnsi="Times New Roman"/>
          <w:sz w:val="17"/>
          <w:szCs w:val="17"/>
          <w:color w:val="auto"/>
        </w:rPr>
      </w:pPr>
    </w:p>
    <w:p>
      <w:pPr>
        <w:ind w:left="424"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the result of the poll shall be deemed to be the resolution of the meeting at which the poll was demanded. There shall be no requirement for the chairman to disclose the voting figures on a poll.</w:t>
      </w:r>
    </w:p>
    <w:p>
      <w:pPr>
        <w:spacing w:after="0" w:line="67"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or on a question of adjournment, shall be taken forthwith. A poll demanded on any other question shall be taken in such manner (including the use of ballot or voting papers or tickets or Electronic means) and either forthwith or at such time (being not later than thirty (30) days after the date of the demand) and place as the chairman directs. It shall not be necessary (unless the chairman otherwise directs) for notice to be given of a poll not taken immediately.</w:t>
      </w:r>
    </w:p>
    <w:p>
      <w:pPr>
        <w:spacing w:after="0" w:line="85"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 poll shall not prevent the continuance of a meeting or the transaction of any business other than the question on which the poll has been demanded, and, with the consent of the chairman, it may be withdrawn at any time before the close of the meeting or the taking of the poll, whichever is the earlier.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66" w:right="459" w:bottom="1440" w:gutter="0" w:footer="0" w:header="0"/>
        </w:sectPr>
      </w:pPr>
    </w:p>
    <w:bookmarkStart w:id="51" w:name="page52"/>
    <w:bookmarkEnd w:id="51"/>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 poll votes may be given either personally or by proxy.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entitled to more than one vote on a poll need not use all his votes or cast all the votes he uses in the same way.</w:t>
      </w:r>
    </w:p>
    <w:p>
      <w:pPr>
        <w:spacing w:after="0" w:line="130"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 simple majority of votes except where a greater majority is required by these Articles or by the Act. In the case of an equality of votes, whether on a show of hands or on a poll, the chairman of such meeting shall be entitled to a second or casting vote in addition to any other vote he may have.</w:t>
      </w:r>
    </w:p>
    <w:p>
      <w:pPr>
        <w:spacing w:after="0" w:line="81"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are joint holders of any share any one of such joint holder may vote, either in person or by proxy, in respect of such share as if he were solely entitled thereto, but if more than one of such joint holders be Present at any meeting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spacing w:after="0" w:line="89" w:lineRule="exact"/>
        <w:rPr>
          <w:sz w:val="20"/>
          <w:szCs w:val="20"/>
          <w:color w:val="auto"/>
        </w:rPr>
      </w:pPr>
    </w:p>
    <w:p>
      <w:pPr>
        <w:ind w:left="984" w:right="40" w:hanging="984"/>
        <w:spacing w:after="0" w:line="254" w:lineRule="auto"/>
        <w:tabs>
          <w:tab w:leader="none" w:pos="964" w:val="left"/>
        </w:tabs>
        <w:rPr>
          <w:sz w:val="20"/>
          <w:szCs w:val="20"/>
          <w:color w:val="auto"/>
        </w:rPr>
      </w:pPr>
      <w:r>
        <w:rPr>
          <w:rFonts w:ascii="Times New Roman" w:cs="Times New Roman" w:eastAsia="Times New Roman" w:hAnsi="Times New Roman"/>
          <w:sz w:val="18"/>
          <w:szCs w:val="18"/>
          <w:color w:val="auto"/>
        </w:rPr>
        <w:t>74.    (1)</w:t>
      </w:r>
      <w:r>
        <w:rPr>
          <w:sz w:val="20"/>
          <w:szCs w:val="20"/>
          <w:color w:val="auto"/>
        </w:rPr>
        <w:tab/>
      </w:r>
      <w:r>
        <w:rPr>
          <w:rFonts w:ascii="Times New Roman" w:cs="Times New Roman" w:eastAsia="Times New Roman" w:hAnsi="Times New Roman"/>
          <w:sz w:val="18"/>
          <w:szCs w:val="18"/>
          <w:color w:val="auto"/>
        </w:rPr>
        <w:t>A Member who is a patient for any purpose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curator bonis or other person in the nature of a receiver, committee or curator bonis appointed by such court, and such receiver, committee, curator bonis or other person may vote on a poll by proxy, and may otherwise act and be treated as if he were the registered holder of such shares for the purposes of general meetings; provided that such evidence as the Board may require of the authority of the person claiming to vote shall have been deposited at the Office, head office or Registration Office, as appropriate, not less than forty-eight (48) hours before the time appointed for holding the meeting, or adjourned meeting or poll, as the case may be.</w:t>
      </w:r>
    </w:p>
    <w:p>
      <w:pPr>
        <w:spacing w:after="0" w:line="97" w:lineRule="exact"/>
        <w:rPr>
          <w:sz w:val="20"/>
          <w:szCs w:val="20"/>
          <w:color w:val="auto"/>
        </w:rPr>
      </w:pPr>
    </w:p>
    <w:p>
      <w:pPr>
        <w:ind w:left="964" w:right="60" w:hanging="532"/>
        <w:spacing w:after="0" w:line="261" w:lineRule="auto"/>
        <w:tabs>
          <w:tab w:leader="none" w:pos="9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under Article 52 to be registered as the holder of any shares may vote at any general meeting in respect thereof in the same manner as if he were the registered holder of such shares; provided that forty-eight (48) hours at least before the time of the holding of the meeting or adjourned meeting, as the case may be, at which he proposes to vote, he shall satisfy the Board of his entitlement to such shares, or the Board shall have previously admitted his right to vote at such meeting in respect thereof.</w:t>
      </w:r>
    </w:p>
    <w:p>
      <w:pPr>
        <w:spacing w:after="0" w:line="85"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unless the Board otherwise determines, be entitled to attend and vote and to be reckoned in a quorum at any general meeting unless he is duly registered and all calls or other sums presently payable by him in respect of shares in the Company have been paid.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52" w:name="page53"/>
    <w:bookmarkEnd w:id="52"/>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 shall be raised to the qualification of any voter;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votes have been counted which ought not to have been counted or which might have been rejected;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votes are not counted which ought to have been counted;</w:t>
      </w:r>
    </w:p>
    <w:p>
      <w:pPr>
        <w:spacing w:after="0" w:line="117" w:lineRule="exact"/>
        <w:rPr>
          <w:sz w:val="20"/>
          <w:szCs w:val="20"/>
          <w:color w:val="auto"/>
        </w:rPr>
      </w:pPr>
    </w:p>
    <w:p>
      <w:pPr>
        <w:ind w:left="444" w:right="100"/>
        <w:spacing w:after="0" w:line="258" w:lineRule="auto"/>
        <w:rPr>
          <w:sz w:val="20"/>
          <w:szCs w:val="20"/>
          <w:color w:val="auto"/>
        </w:rPr>
      </w:pPr>
      <w:r>
        <w:rPr>
          <w:rFonts w:ascii="Times New Roman" w:cs="Times New Roman" w:eastAsia="Times New Roman" w:hAnsi="Times New Roman"/>
          <w:sz w:val="18"/>
          <w:szCs w:val="18"/>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39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56" w:lineRule="exact"/>
        <w:rPr>
          <w:sz w:val="20"/>
          <w:szCs w:val="20"/>
          <w:color w:val="auto"/>
        </w:rPr>
      </w:pPr>
    </w:p>
    <w:p>
      <w:pPr>
        <w:ind w:left="424" w:hanging="424"/>
        <w:spacing w:after="0" w:line="258"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entitled to attend and vote at a meeting of the Company shall be entitled to appoint another person as his proxy to attend and vote instead of him. A Member who is the holder of two or more shares may appoint more than one proxy to represent him and vote on his behalf at a general meeting of the Company or at a class meeting. A proxy need not be a Member. In addition, a proxy or proxies representing either a Member who is an individual or a Member which is a corporation shall be entitled to exercise the same powers on behalf of the Member which he or they represent as such Member could exercise.</w:t>
      </w:r>
    </w:p>
    <w:p>
      <w:pPr>
        <w:spacing w:after="0" w:line="88"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appointor or of his attorney duly authorised in writing or, if the appointor is a corporation, either under its seal or under the hand of an officer, attorney or other person authorised to sign the same. In the case of an instrument of proxy purporting to be signed on behalf of a corporation by an officer thereof it shall be assumed, unless the contrary appears, that such officer was duly authorised to sign such instrument of proxy on behalf of the corporation without further evidence of the facts.</w:t>
      </w:r>
    </w:p>
    <w:p>
      <w:pPr>
        <w:spacing w:after="0" w:line="85"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and (if required by the Board) the power of attorney or other authority (if any) under which it is signed, or a certified copy of such power or authority, shall be delivered to such place or one of such places (if any), including by Electronic means, as may be specified for that purpose in or by way of note to or in any document accompanying the notice convening the meeting (or, if no place is so specified at the Registration Office or the Office, as may be appropriate) not less than forty-eight (48) hours before the time appointed for holding the meeting or adjourned meeting at which the person named in the instrument proposes to vote or, in the case of a poll taken subsequently to the date of a meeting or adjourned meeting, not less than twenty-four (24) hours before the time appointed for the taking of the poll and in default the instrument of proxy shall not be treated as valid. No instrument appointing a proxy shall be valid after the expiration of twelve (12) months from the date named in it as the date of its execution, except at an adjourned meeting or on a poll demanded at a meeting or an adjourned meeting in cases where the meeting was originally held within twelve (12) months from such date. Delivery of an instrument appointing a proxy shall not preclude a Member from attending and voting in person at the meeting convened and in such event, the instrument appointing a proxy shall be deemed to be revoked.</w:t>
      </w:r>
    </w:p>
    <w:p>
      <w:pPr>
        <w:spacing w:after="0" w:line="12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4"/>
          </w:cols>
          <w:pgMar w:left="436" w:top="270" w:right="499" w:bottom="1440" w:gutter="0" w:footer="0" w:header="0"/>
        </w:sectPr>
      </w:pPr>
    </w:p>
    <w:bookmarkStart w:id="53" w:name="page54"/>
    <w:bookmarkEnd w:id="53"/>
    <w:p>
      <w:pPr>
        <w:ind w:left="424" w:right="100" w:hanging="424"/>
        <w:spacing w:after="0" w:line="258"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Instruments of proxy shall be in any common form or in such other form as the Board may approve (provided that this shall not preclude the use of the two-way form) and the Board may, if it thinks fit, send out with the notice of any meeting forms of instrument of proxy for use at the meeting. The instrument of proxy shall be deemed to confer authority to demand or join in demanding a poll and to vote on any amendment of a resolution put to the meeting for which it is given as the proxy thinks fit. The instrument of proxy shall, unless the contrary is stated therein, be valid as well for any adjournment of the meeting as for the meeting to which it relates.</w:t>
      </w:r>
    </w:p>
    <w:p>
      <w:pPr>
        <w:spacing w:after="0" w:line="88"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the Registration Office (or such other place as may be specified for the delivery of instruments of proxy in the notice convening the meeting or other document sent therewith) two hours at least before the commencement of the meeting or adjourned meeting, or the taking of the poll, at which the instrument of proxy is used.</w:t>
      </w:r>
    </w:p>
    <w:p>
      <w:pPr>
        <w:spacing w:after="0" w:line="88"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which under these Articles a Member may do by proxy he may likewise do by his duly appointed attorney and the provisions of these Articles relating to proxies and instruments appointing proxies shall apply mutatis mutandis in relation to any such attorney and the instrument under which such attorney is appointed.</w:t>
      </w:r>
    </w:p>
    <w:p>
      <w:pPr>
        <w:spacing w:after="0" w:line="38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w:t>
      </w:r>
    </w:p>
    <w:p>
      <w:pPr>
        <w:spacing w:after="0" w:line="256" w:lineRule="exact"/>
        <w:rPr>
          <w:sz w:val="20"/>
          <w:szCs w:val="20"/>
          <w:color w:val="auto"/>
        </w:rPr>
      </w:pPr>
    </w:p>
    <w:p>
      <w:pPr>
        <w:ind w:left="984" w:right="20" w:hanging="984"/>
        <w:spacing w:after="0" w:line="258" w:lineRule="auto"/>
        <w:tabs>
          <w:tab w:leader="none" w:pos="964" w:val="left"/>
        </w:tabs>
        <w:rPr>
          <w:sz w:val="20"/>
          <w:szCs w:val="20"/>
          <w:color w:val="auto"/>
        </w:rPr>
      </w:pPr>
      <w:r>
        <w:rPr>
          <w:rFonts w:ascii="Times New Roman" w:cs="Times New Roman" w:eastAsia="Times New Roman" w:hAnsi="Times New Roman"/>
          <w:sz w:val="18"/>
          <w:szCs w:val="18"/>
          <w:color w:val="auto"/>
        </w:rPr>
        <w:t>83.    (1)</w:t>
      </w:r>
      <w:r>
        <w:rPr>
          <w:sz w:val="20"/>
          <w:szCs w:val="20"/>
          <w:color w:val="auto"/>
        </w:rPr>
        <w:tab/>
      </w:r>
      <w:r>
        <w:rPr>
          <w:rFonts w:ascii="Times New Roman" w:cs="Times New Roman" w:eastAsia="Times New Roman" w:hAnsi="Times New Roman"/>
          <w:sz w:val="18"/>
          <w:szCs w:val="18"/>
          <w:color w:val="auto"/>
        </w:rPr>
        <w:t>Any corporation which is a Member may by resolution of its directors or other governing body authorise such person as it thinks fit to act as its representative at any meeting of the Company or at any meeting of any class of Members. The person so authorised shall be entitled to exercise the same powers on behalf of such corporation as the corporation could exercise if it were an individual Member and such corporation shall for the purposes of these Articles be deemed to be Present at any such meeting if a person so authorised is Present thereat.</w:t>
      </w:r>
    </w:p>
    <w:p>
      <w:pPr>
        <w:spacing w:after="0" w:line="89" w:lineRule="exact"/>
        <w:rPr>
          <w:sz w:val="20"/>
          <w:szCs w:val="20"/>
          <w:color w:val="auto"/>
        </w:rPr>
      </w:pPr>
    </w:p>
    <w:p>
      <w:pPr>
        <w:ind w:left="964" w:right="40" w:hanging="532"/>
        <w:spacing w:after="0" w:line="255" w:lineRule="auto"/>
        <w:tabs>
          <w:tab w:leader="none" w:pos="9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clearing house (or its nominee(s)) or a central depository entity, being a corporation, is a Member, it may authorise such persons as it thinks fit to act as its representatives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central depository entity (or its nominee(s)) as if such person was the registered holder of the shares of the Company held by the clearing house or a central depository entity (or its nominee(s)) including the right to speak and the right to vote individually on a show of hands.</w:t>
      </w:r>
    </w:p>
    <w:p>
      <w:pPr>
        <w:spacing w:after="0" w:line="12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24"/>
          </w:cols>
          <w:pgMar w:left="436" w:top="270" w:right="539" w:bottom="1440" w:gutter="0" w:footer="0" w:header="0"/>
        </w:sectPr>
      </w:pPr>
    </w:p>
    <w:bookmarkStart w:id="54" w:name="page55"/>
    <w:bookmarkEnd w:id="54"/>
    <w:p>
      <w:pPr>
        <w:ind w:left="964" w:right="60" w:hanging="532"/>
        <w:spacing w:after="0" w:line="282" w:lineRule="auto"/>
        <w:tabs>
          <w:tab w:leader="none" w:pos="9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reference in these Articles to a duly authorised representative of a Member being a corporation shall mean a representative authorised under the provisions of this Article.</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 ACTION BY WRITTEN RESOLUTIONS OF MEMBERS</w:t>
      </w:r>
    </w:p>
    <w:p>
      <w:pPr>
        <w:spacing w:after="0" w:line="256" w:lineRule="exact"/>
        <w:rPr>
          <w:sz w:val="20"/>
          <w:szCs w:val="20"/>
          <w:color w:val="auto"/>
        </w:rPr>
      </w:pPr>
    </w:p>
    <w:p>
      <w:pPr>
        <w:jc w:val="both"/>
        <w:ind w:left="424" w:right="80" w:hanging="424"/>
        <w:spacing w:after="0" w:line="266"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at any annual or extraordinary general meetings of the Company may be taken only upon the vote of the Members at an annual or extraordinary general meeting duly noticed and convened in accordance with these Articles and the Act and may not be taken by written resolution of Members without a meeting.</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56" w:lineRule="exact"/>
        <w:rPr>
          <w:sz w:val="20"/>
          <w:szCs w:val="20"/>
          <w:color w:val="auto"/>
        </w:rPr>
      </w:pPr>
    </w:p>
    <w:p>
      <w:pPr>
        <w:ind w:left="424" w:right="40" w:hanging="424"/>
        <w:spacing w:after="0" w:line="258"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Company at a general meeting, the number of Directors shall not be less than two (2). There shall be no maximum number of Directors unless otherwise determined from time to time by the Members by an ordinary resolution at a general meeting; provided, however, that any increase in the number of Directors shall be subject to approval by the Board. The Directors shall be elected or appointed in accordance with Article 86. The Chief Executive Officer of the Company, while holding such office, shall always serve as a Director, notwithstanding any provisions herein.</w:t>
      </w:r>
    </w:p>
    <w:p>
      <w:pPr>
        <w:spacing w:after="0" w:line="89" w:lineRule="exact"/>
        <w:rPr>
          <w:sz w:val="20"/>
          <w:szCs w:val="20"/>
          <w:color w:val="auto"/>
        </w:rPr>
      </w:pPr>
    </w:p>
    <w:p>
      <w:pPr>
        <w:ind w:left="984" w:right="480" w:hanging="984"/>
        <w:spacing w:after="0" w:line="282" w:lineRule="auto"/>
        <w:tabs>
          <w:tab w:leader="none" w:pos="964" w:val="left"/>
        </w:tabs>
        <w:rPr>
          <w:sz w:val="20"/>
          <w:szCs w:val="20"/>
          <w:color w:val="auto"/>
        </w:rPr>
      </w:pPr>
      <w:r>
        <w:rPr>
          <w:rFonts w:ascii="Times New Roman" w:cs="Times New Roman" w:eastAsia="Times New Roman" w:hAnsi="Times New Roman"/>
          <w:sz w:val="18"/>
          <w:szCs w:val="18"/>
          <w:color w:val="auto"/>
        </w:rPr>
        <w:t>86.    (1)</w:t>
      </w:r>
      <w:r>
        <w:rPr>
          <w:sz w:val="20"/>
          <w:szCs w:val="20"/>
          <w:color w:val="auto"/>
        </w:rPr>
        <w:tab/>
      </w:r>
      <w:r>
        <w:rPr>
          <w:rFonts w:ascii="Times New Roman" w:cs="Times New Roman" w:eastAsia="Times New Roman" w:hAnsi="Times New Roman"/>
          <w:sz w:val="18"/>
          <w:szCs w:val="18"/>
          <w:color w:val="auto"/>
        </w:rPr>
        <w:t>Subject to these Articles and the Act, the Company may by ordinary resolution elect any person to be a director either to fill a causal vacancy or as an addition to the existing Board.</w:t>
      </w:r>
    </w:p>
    <w:p>
      <w:pPr>
        <w:spacing w:after="0" w:line="67" w:lineRule="exact"/>
        <w:rPr>
          <w:sz w:val="20"/>
          <w:szCs w:val="20"/>
          <w:color w:val="auto"/>
        </w:rPr>
      </w:pPr>
    </w:p>
    <w:p>
      <w:pPr>
        <w:ind w:left="964" w:right="120" w:hanging="532"/>
        <w:spacing w:after="0" w:line="266" w:lineRule="auto"/>
        <w:tabs>
          <w:tab w:leader="none" w:pos="9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have the power from time to time and at any time to appoint any person as a Director to fill a casual vacancy on the Board or as an addition to the existing Board, subject to approval by the Board. Any Director so appointed by the Board shall hold office only until the first annual general meeting of the Company after his appointment, and shall then be eligible for re-election at that meeting.</w:t>
      </w:r>
    </w:p>
    <w:p>
      <w:pPr>
        <w:spacing w:after="0" w:line="81"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provision to the contrary in these Articles, a Director (including a managing Director or other executive Director) may be removed by way of an ordinary resolution of the Members at any time before the expiration of his term of office for reasonable cause, including but not limited to fraud, criminal conviction or failure by such director to fulfill the duties of a Director pursuant to these Articles (without prejudice to any claim for damages under any contract).</w:t>
      </w:r>
    </w:p>
    <w:p>
      <w:pPr>
        <w:spacing w:after="0" w:line="85" w:lineRule="exact"/>
        <w:rPr>
          <w:rFonts w:ascii="Times New Roman" w:cs="Times New Roman" w:eastAsia="Times New Roman" w:hAnsi="Times New Roman"/>
          <w:sz w:val="18"/>
          <w:szCs w:val="18"/>
          <w:color w:val="auto"/>
        </w:rPr>
      </w:pPr>
    </w:p>
    <w:p>
      <w:pPr>
        <w:ind w:left="964" w:right="300" w:hanging="532"/>
        <w:spacing w:after="0" w:line="266" w:lineRule="auto"/>
        <w:tabs>
          <w:tab w:leader="none" w:pos="9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vacancy on the Board created by the removal of a Director may be filled by the election or appointment by ordinary resolution of the Members at the meeting at which such Director is removed or by the affirmative vote of a simple majority of the remaining Directors present and voting at a Board meeting.</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55" w:name="page56"/>
    <w:bookmarkEnd w:id="55"/>
    <w:p>
      <w:pPr>
        <w:ind w:left="964" w:right="120" w:hanging="532"/>
        <w:spacing w:after="0" w:line="312" w:lineRule="auto"/>
        <w:tabs>
          <w:tab w:leader="none" w:pos="96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Director shall be required to hold any shares of the Company by way of qualification and a Director who is not a Member shall be entitled to receive notice of and to attend and speak at any general meeting of the Company and of all classes of shares of the Company.</w:t>
      </w:r>
    </w:p>
    <w:p>
      <w:pPr>
        <w:spacing w:after="0" w:line="352"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56"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a Director shall be vacated if the Director: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delivered to the Company at the Office or tendered at a meeting of the Board;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of unsound mind or dies;</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six consecutive months and the Board resolves that his office be vacated;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has a receiving order made against him or suspends payment or compounds with his creditors;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law from being a Director;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a Director by virtue of any provision of the Statutes or is removed from office pursuant to these Articles.</w:t>
      </w:r>
    </w:p>
    <w:p>
      <w:pPr>
        <w:spacing w:after="0" w:line="200" w:lineRule="exact"/>
        <w:rPr>
          <w:sz w:val="20"/>
          <w:szCs w:val="20"/>
          <w:color w:val="auto"/>
        </w:rPr>
      </w:pPr>
    </w:p>
    <w:p>
      <w:pPr>
        <w:spacing w:after="0" w:line="237"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EXECUTIVE DIRECTORS</w:t>
      </w:r>
    </w:p>
    <w:p>
      <w:pPr>
        <w:spacing w:after="0" w:line="256" w:lineRule="exact"/>
        <w:rPr>
          <w:sz w:val="20"/>
          <w:szCs w:val="20"/>
          <w:color w:val="auto"/>
        </w:rPr>
      </w:pPr>
    </w:p>
    <w:p>
      <w:pPr>
        <w:ind w:left="424" w:right="80" w:hanging="424"/>
        <w:spacing w:after="0" w:line="255"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appoint any one or more of its body to be a managing director, joint managing director or deputy managing director or to hold any other employment or executive office with the Company for such period (subject to their continuance as Directors) and upon such terms as the Board may determine and the Board may revoke or terminate any of such appointments. Any such revocation or termination as aforesaid shall be without prejudice to any claim for damages that such Director may have against the Company or the Company may have against such Director. A Director appointed to an office under this Article shall be subject to the same provisions as to removal as the other Directors, and he shall (subject to the provisions of any contract between him and the Company) ipso facto and immediately cease to hold such office if he shall cease to hold the office of Director for any cause.</w:t>
      </w:r>
    </w:p>
    <w:p>
      <w:pPr>
        <w:spacing w:after="0" w:line="94"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Articles 95, 96 and 97, an executive director appointed to an office under Article 88 hereof shall receive such remuneration (whether by way of salary, commission, participation in profits or otherwise or by all or any of those modes) and such other benefits (including pension and/or gratuity and/or other benefits on retirement) and allowances as the Board may from time to time determine, and either in addition to or in lieu of his remuneration as a Director.</w:t>
      </w:r>
    </w:p>
    <w:p>
      <w:pPr>
        <w:spacing w:after="0" w:line="112"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864"/>
          </w:cols>
          <w:pgMar w:left="436" w:top="270" w:right="599" w:bottom="1440" w:gutter="0" w:footer="0" w:header="0"/>
        </w:sectPr>
      </w:pPr>
    </w:p>
    <w:bookmarkStart w:id="56" w:name="page57"/>
    <w:bookmarkEnd w:id="5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ALTERNATE DIRECTORS</w:t>
      </w:r>
    </w:p>
    <w:p>
      <w:pPr>
        <w:spacing w:after="0" w:line="256" w:lineRule="exact"/>
        <w:rPr>
          <w:sz w:val="20"/>
          <w:szCs w:val="20"/>
          <w:color w:val="auto"/>
        </w:rPr>
      </w:pPr>
    </w:p>
    <w:p>
      <w:pPr>
        <w:ind w:left="424" w:hanging="424"/>
        <w:spacing w:after="0" w:line="269" w:lineRule="auto"/>
        <w:tabs>
          <w:tab w:leader="none" w:pos="42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at any time by Notice delivered to the Office or head office or at a meeting of the Directors appoint any person (including another Director) to be his alternate Director. Any person so appointed shall have all the rights and powers of the Director or Directors for whom such person is appointed in the alternative provided that such person may be counted more than once in determining whether or not a quorum is present. An alternate Director may be removed at any time by the body which appointed him and, subject thereto, the office of alternate Director shall continue until the happening of any event which, if he were a Director, would cause him to vacate such office or if his appointer ceases for any reason to be a Director. Any appointment or removal of an alternate Director shall be effected by Notice signed by the appointor and delivered to the Office or head office or tendered at a meeting of the Board. An alternate Director may also be a Director in his own right and may act as alternate to more than one Director. An alternate Director shall, if his appointor so requests, be entitled to receive notices of meetings of the Board or of committees of the Board to the same extent as, but in lieu of, the Director appointing him and shall be entitled to such extent to attend and vote as a Director at any such meeting at which the Director appointing him is not personally present and generally at such meeting to exercise and discharge all the functions, powers and duties of his appointor as a Director and for the purposes of the proceedings at such meeting the provisions of these Articles shall apply as if he were a Director save that as an alternate for more than one Director his voting rights shall be cumulative.</w:t>
      </w:r>
    </w:p>
    <w:p>
      <w:pPr>
        <w:spacing w:after="0" w:line="84" w:lineRule="exact"/>
        <w:rPr>
          <w:rFonts w:ascii="Times New Roman" w:cs="Times New Roman" w:eastAsia="Times New Roman" w:hAnsi="Times New Roman"/>
          <w:sz w:val="17"/>
          <w:szCs w:val="17"/>
          <w:color w:val="auto"/>
        </w:rPr>
      </w:pPr>
    </w:p>
    <w:p>
      <w:pPr>
        <w:ind w:left="424" w:right="20" w:hanging="424"/>
        <w:spacing w:after="0" w:line="255" w:lineRule="auto"/>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shall only be a Director for the purposes of the Act and shall only be subject to the provisions of the Act insofar as they relate to the duties and obligations of a Director when performing the functions of the Director for whom he is appointed in the alternative and shall alone be responsible to the Company for his acts and defaults and shall not be deemed to be the agent of or for the Director appointing him. An alternate Director shall be entitled to contract and be interested in and benefit from contracts or arrangements or transactions and to be repaid expenses and to be indemnified by the Company to the same extent mutatis mutandis as if he were a Director but he shall not be entitled to receive from the Company any fee in his capacity as an alternate Director except only such part, if any, of the remuneration otherwise payable to his appointor as such appointor may by Notice to the Company from time to time direct.</w:t>
      </w:r>
    </w:p>
    <w:p>
      <w:pPr>
        <w:spacing w:after="0" w:line="94"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acting as an alternate Director shall have one vote for each Director for whom he acts as alternate (in addition to his own vote if he is also a Director). If his appointor is for the time being not available or unable to act, the signature of an alternate Director to any resolution in writing of the Board or a committee of the Board of which his appointor is a member shall, unless the notice of his appointment provides to the contrary, be as effective as the signature of his appointor.</w:t>
      </w:r>
    </w:p>
    <w:p>
      <w:pPr>
        <w:spacing w:after="0" w:line="85"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shall ipso facto cease to be an alternate Director if his appointor ceases for any reason to be a Director, however, such alternate Director or any other person may be re-appointed by the Directors to serve as an alternate Director.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66" w:right="459" w:bottom="1440" w:gutter="0" w:footer="0" w:header="0"/>
        </w:sectPr>
      </w:pPr>
    </w:p>
    <w:bookmarkStart w:id="57" w:name="page58"/>
    <w:bookmarkEnd w:id="5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FEES AND EXPENSES</w:t>
      </w:r>
    </w:p>
    <w:p>
      <w:pPr>
        <w:spacing w:after="0" w:line="256"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receive such remuneration as the Board may from time to time determine.</w:t>
      </w:r>
    </w:p>
    <w:p>
      <w:pPr>
        <w:spacing w:after="0" w:line="130"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shall be entitled to be repaid or prepaid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81"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85"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the right to make any payment to any Director or past Director by way of compensation for loss of office, or as consideration for or in connection with his retirement from office (not being payment to which the Director is contractually entitled).</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DIRECTORS’ INTERESTS</w:t>
      </w:r>
    </w:p>
    <w:p>
      <w:pPr>
        <w:spacing w:after="0" w:line="135"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w:t>
      </w:r>
    </w:p>
    <w:p>
      <w:pPr>
        <w:spacing w:after="0" w:line="130" w:lineRule="exact"/>
        <w:rPr>
          <w:rFonts w:ascii="Times New Roman" w:cs="Times New Roman" w:eastAsia="Times New Roman" w:hAnsi="Times New Roman"/>
          <w:sz w:val="18"/>
          <w:szCs w:val="18"/>
          <w:color w:val="auto"/>
        </w:rPr>
      </w:pPr>
    </w:p>
    <w:p>
      <w:pPr>
        <w:ind w:left="964" w:right="20" w:hanging="532"/>
        <w:spacing w:after="0" w:line="261" w:lineRule="auto"/>
        <w:tabs>
          <w:tab w:leader="none" w:pos="96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85"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by himself or his firm in a professional capacity for the Company (otherwise than as Auditor) and he or his firm may be remunerated for professional services as if he were not a Director;</w:t>
      </w:r>
    </w:p>
    <w:p>
      <w:pPr>
        <w:spacing w:after="0" w:line="67" w:lineRule="exact"/>
        <w:rPr>
          <w:rFonts w:ascii="Times New Roman" w:cs="Times New Roman" w:eastAsia="Times New Roman" w:hAnsi="Times New Roman"/>
          <w:sz w:val="18"/>
          <w:szCs w:val="18"/>
          <w:color w:val="auto"/>
        </w:rPr>
      </w:pPr>
    </w:p>
    <w:p>
      <w:pPr>
        <w:ind w:left="964" w:hanging="532"/>
        <w:spacing w:after="0" w:line="252" w:lineRule="auto"/>
        <w:tabs>
          <w:tab w:leader="none" w:pos="96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or become a director, managing director, joint managing director, deputy managing director, executive director, manager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managing director, joint managing director, deputy managing director, executive director, manager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managing directors, joint managing directors, deputy managing directors, executive directors, managers or other officers of such company) or voting or providing for the payment of remuneration to the director, managing director, joint managing director, deputy managing director, executive director, manager or other officers of such other company and any Director may vote in favour of the exercise of such voting rights in manner aforesaid notwithstanding that he may be, or about to be, appointed a director, managing director, joint managing director, deputy managing director, executive director, manager or other officer of such a company, and that as such he is or may become interested in the exercise of such voting rights in manner aforesaid.</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66" w:right="459" w:bottom="1440" w:gutter="0" w:footer="0" w:header="0"/>
        </w:sectPr>
      </w:pPr>
    </w:p>
    <w:bookmarkStart w:id="58" w:name="page59"/>
    <w:bookmarkEnd w:id="58"/>
    <w:p>
      <w:pPr>
        <w:ind w:left="444" w:right="2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no “Independent Director” as defined in the rules of the Designated Stock Exchange, as applicable to the Company, and the qualifications of which are provided in Rule 10A-3 under the Exchange Act, and with respect of whom the Board has determined constitutes an “Independent Director” for purposes of compliance with applicable law or the Company’s listing requirements, shall without the consent of the Audit Committee take any of the foregoing actions or any other action that would reasonably be likely to affect such Director’s status as an “Independent Director” of the Company.</w:t>
      </w:r>
    </w:p>
    <w:p>
      <w:pPr>
        <w:spacing w:after="0" w:line="89" w:lineRule="exact"/>
        <w:rPr>
          <w:sz w:val="20"/>
          <w:szCs w:val="20"/>
          <w:color w:val="auto"/>
        </w:rPr>
      </w:pPr>
    </w:p>
    <w:p>
      <w:pPr>
        <w:ind w:left="424" w:right="40" w:hanging="424"/>
        <w:spacing w:after="0" w:line="254"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to these Articles, no Director or proposed or intending Director shall be disqualified by his office from contracting with the Company, either with regard to his tenure of any office or place of profit or as vendor, purchaser or in any other manner whatever,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100 herein. Any such transaction that would reasonably be likely to affect a Director’s status as an “Independent Director”, or that would constitute a “related party transaction” as required to be disclosed by Item 7.B of Form 20-F promulgated by the SEC, shall require the approval of the Audit Committee.</w:t>
      </w:r>
    </w:p>
    <w:p>
      <w:pPr>
        <w:spacing w:after="0" w:line="93"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p>
      <w:pPr>
        <w:spacing w:after="0" w:line="85"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a member or officer of a specified company or firm and is to be regarded as interested in any contract or arrangement which may after the date of the Notice be made with that company or firm; or</w:t>
      </w:r>
    </w:p>
    <w:p>
      <w:pPr>
        <w:spacing w:after="0" w:line="67" w:lineRule="exact"/>
        <w:rPr>
          <w:rFonts w:ascii="Times New Roman" w:cs="Times New Roman" w:eastAsia="Times New Roman" w:hAnsi="Times New Roman"/>
          <w:sz w:val="18"/>
          <w:szCs w:val="18"/>
          <w:color w:val="auto"/>
        </w:rPr>
      </w:pPr>
    </w:p>
    <w:p>
      <w:pPr>
        <w:ind w:left="964" w:right="220" w:hanging="532"/>
        <w:spacing w:after="0" w:line="261" w:lineRule="auto"/>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to be regarded as interested in any contract or arrangement which may after the date of the Notice be made with a specified person who is connected with him; 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spacing w:after="0" w:line="85" w:lineRule="exact"/>
        <w:rPr>
          <w:rFonts w:ascii="Times New Roman" w:cs="Times New Roman" w:eastAsia="Times New Roman" w:hAnsi="Times New Roman"/>
          <w:sz w:val="18"/>
          <w:szCs w:val="18"/>
          <w:color w:val="auto"/>
        </w:rPr>
      </w:pPr>
    </w:p>
    <w:p>
      <w:pPr>
        <w:jc w:val="both"/>
        <w:ind w:left="424" w:hanging="424"/>
        <w:spacing w:after="0" w:line="261"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declaration being made pursuant to the last preceding two Articles, subject to any separate requirement for Audit Committee approval under applicable law or rules of the Designated Stock Exchange, and unless disqualified by the chairman of the relevant Board meeting, a Director may vote in respect of any contract or proposed contract or arrangement in which such Director is interested and may be counted in the quorum at such meeting.</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59" w:name="page60"/>
    <w:bookmarkEnd w:id="5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POWERS OF THE DIRECTORS</w:t>
      </w:r>
    </w:p>
    <w:p>
      <w:pPr>
        <w:spacing w:after="0" w:line="256" w:lineRule="exact"/>
        <w:rPr>
          <w:sz w:val="20"/>
          <w:szCs w:val="20"/>
          <w:color w:val="auto"/>
        </w:rPr>
      </w:pPr>
    </w:p>
    <w:p>
      <w:pPr>
        <w:ind w:left="984" w:hanging="984"/>
        <w:spacing w:after="0" w:line="255" w:lineRule="auto"/>
        <w:tabs>
          <w:tab w:leader="none" w:pos="964" w:val="left"/>
        </w:tabs>
        <w:rPr>
          <w:sz w:val="20"/>
          <w:szCs w:val="20"/>
          <w:color w:val="auto"/>
        </w:rPr>
      </w:pPr>
      <w:r>
        <w:rPr>
          <w:rFonts w:ascii="Times New Roman" w:cs="Times New Roman" w:eastAsia="Times New Roman" w:hAnsi="Times New Roman"/>
          <w:sz w:val="18"/>
          <w:szCs w:val="18"/>
          <w:color w:val="auto"/>
        </w:rPr>
        <w:t>102.    (1)</w:t>
        <w:tab/>
        <w:t>The business of the Company shall be managed and conducted by the Board, which may pay all expenses incurred in forming and registering the Company and may exercise all powers of the Company (whether relating to the management of the business of the Company or otherwise) which are not by the Statutes or by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w:t>
      </w:r>
    </w:p>
    <w:p>
      <w:pPr>
        <w:spacing w:after="0" w:line="94" w:lineRule="exact"/>
        <w:rPr>
          <w:sz w:val="20"/>
          <w:szCs w:val="20"/>
          <w:color w:val="auto"/>
        </w:rPr>
      </w:pPr>
    </w:p>
    <w:p>
      <w:pPr>
        <w:ind w:left="964" w:right="100" w:hanging="532"/>
        <w:spacing w:after="0" w:line="282" w:lineRule="auto"/>
        <w:tabs>
          <w:tab w:leader="none" w:pos="96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 powers conferred by these Articles it is hereby expressly declared that the Board shall have the following powers:</w:t>
      </w:r>
    </w:p>
    <w:p>
      <w:pPr>
        <w:spacing w:after="0" w:line="67" w:lineRule="exact"/>
        <w:rPr>
          <w:rFonts w:ascii="Times New Roman" w:cs="Times New Roman" w:eastAsia="Times New Roman" w:hAnsi="Times New Roman"/>
          <w:sz w:val="18"/>
          <w:szCs w:val="18"/>
          <w:color w:val="auto"/>
        </w:rPr>
      </w:pPr>
    </w:p>
    <w:p>
      <w:pPr>
        <w:ind w:left="1424" w:right="120" w:hanging="439"/>
        <w:spacing w:after="0" w:line="282" w:lineRule="auto"/>
        <w:tabs>
          <w:tab w:leader="none" w:pos="142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person the right or option of requiring at a future date that an allotment shall be made to him of any share at par or at such premium as may be agreed.</w:t>
      </w:r>
    </w:p>
    <w:p>
      <w:pPr>
        <w:spacing w:after="0" w:line="67" w:lineRule="exact"/>
        <w:rPr>
          <w:rFonts w:ascii="Times New Roman" w:cs="Times New Roman" w:eastAsia="Times New Roman" w:hAnsi="Times New Roman"/>
          <w:sz w:val="18"/>
          <w:szCs w:val="18"/>
          <w:color w:val="auto"/>
        </w:rPr>
      </w:pPr>
    </w:p>
    <w:p>
      <w:pPr>
        <w:ind w:left="1424" w:right="140" w:hanging="439"/>
        <w:spacing w:after="0" w:line="266" w:lineRule="auto"/>
        <w:tabs>
          <w:tab w:leader="none" w:pos="142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w:t>
      </w:r>
    </w:p>
    <w:p>
      <w:pPr>
        <w:spacing w:after="0" w:line="81" w:lineRule="exact"/>
        <w:rPr>
          <w:rFonts w:ascii="Times New Roman" w:cs="Times New Roman" w:eastAsia="Times New Roman" w:hAnsi="Times New Roman"/>
          <w:sz w:val="18"/>
          <w:szCs w:val="18"/>
          <w:color w:val="auto"/>
        </w:rPr>
      </w:pPr>
    </w:p>
    <w:p>
      <w:pPr>
        <w:ind w:left="1424" w:right="480" w:hanging="439"/>
        <w:spacing w:after="0" w:line="282" w:lineRule="auto"/>
        <w:tabs>
          <w:tab w:leader="none" w:pos="142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resolve that the Company be deregistered in the Cayman Islands and continued in a named jurisdiction outside the Cayman Islands subject to the provisions of the Act.</w:t>
      </w:r>
    </w:p>
    <w:p>
      <w:pPr>
        <w:spacing w:after="0" w:line="188" w:lineRule="exact"/>
        <w:rPr>
          <w:rFonts w:ascii="Times New Roman" w:cs="Times New Roman" w:eastAsia="Times New Roman" w:hAnsi="Times New Roman"/>
          <w:sz w:val="18"/>
          <w:szCs w:val="18"/>
          <w:color w:val="auto"/>
        </w:rPr>
      </w:pPr>
    </w:p>
    <w:p>
      <w:pPr>
        <w:ind w:left="424" w:right="60" w:hanging="424"/>
        <w:spacing w:after="0" w:line="254" w:lineRule="auto"/>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establish any regional or local boards or agencies for managing any of the affairs of the Company in any place, and may appoint any persons to be members of such local boards, or any managers or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Board may delegate to any regional or local board, manager or agent any of the powers, authorities and discretions vested in or exercisable by the Board (other than its powers to make calls and forfeit shares), with power to sub-delegate, and may authorise the members of any of them to fill any vacancies therein and to act notwithstanding vacancies. Any such appointment or delegation 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66" w:right="459" w:bottom="1440" w:gutter="0" w:footer="0" w:header="0"/>
        </w:sectPr>
      </w:pPr>
    </w:p>
    <w:bookmarkStart w:id="60" w:name="page61"/>
    <w:bookmarkEnd w:id="60"/>
    <w:p>
      <w:pPr>
        <w:ind w:left="424" w:right="80" w:hanging="424"/>
        <w:spacing w:after="0" w:line="255"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may by power of attorney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Such attorney or attorneys may, if so authorised under the Seal of the Company, execute any deed or instrument under their personal seal with the same effect as the affixation of the Company’s Seal.</w:t>
      </w:r>
    </w:p>
    <w:p>
      <w:pPr>
        <w:spacing w:after="0" w:line="94"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entrust to and confer upon a managing director, joint managing director, deputy managing director, an executive director or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spacing w:after="0" w:line="85"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85" w:lineRule="exact"/>
        <w:rPr>
          <w:sz w:val="20"/>
          <w:szCs w:val="20"/>
          <w:color w:val="auto"/>
        </w:rPr>
      </w:pPr>
    </w:p>
    <w:p>
      <w:pPr>
        <w:ind w:left="984" w:hanging="984"/>
        <w:spacing w:after="0" w:line="256" w:lineRule="auto"/>
        <w:tabs>
          <w:tab w:leader="none" w:pos="964" w:val="left"/>
        </w:tabs>
        <w:rPr>
          <w:sz w:val="20"/>
          <w:szCs w:val="20"/>
          <w:color w:val="auto"/>
        </w:rPr>
      </w:pPr>
      <w:r>
        <w:rPr>
          <w:rFonts w:ascii="Times New Roman" w:cs="Times New Roman" w:eastAsia="Times New Roman" w:hAnsi="Times New Roman"/>
          <w:sz w:val="18"/>
          <w:szCs w:val="18"/>
          <w:color w:val="auto"/>
        </w:rPr>
        <w:t>107.    (1)</w:t>
        <w:tab/>
        <w:t>The Board may establish or concur or join with other companies (being subsidiary companies of the Company or companies with which it is associated in business) in establishing and making contributions out of the Company’s moneys to any schemes or funds for providing pensions, sickness or compassionate allowances, life assurance or other benefits for employees (which expression as used in this and the following paragraph shall include any Director or ex-Director who may hold or have held any executive office or any office of profit under the Company or any of its subsidiary companies) and ex-employees of the Company and their dependants or any class or classes of such person.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61" w:name="page62"/>
    <w:bookmarkEnd w:id="61"/>
    <w:p>
      <w:pPr>
        <w:ind w:left="964" w:right="100" w:hanging="532"/>
        <w:spacing w:after="0" w:line="256" w:lineRule="auto"/>
        <w:tabs>
          <w:tab w:leader="none" w:pos="9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may pay, enter into agreements to pay or make grants of revocable or irrevocable pensions or other benefits to employees and ex-employees and their dependants, or to any of such persons, including pensions or benefits additional to those, if any, to which such employees or ex-employees or their dependants are or may become entitled under any such scheme or fund as mentioned in the last preceding paragraph. Any such pension or benefit may, as the Board considers desirable, be granted to an employee either before and in anticipation of or upon or at any time after his actual retirement, and may be subject or not subject to any terms or conditions as the Board may determine.</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56" w:lineRule="exact"/>
        <w:rPr>
          <w:sz w:val="20"/>
          <w:szCs w:val="20"/>
          <w:color w:val="auto"/>
        </w:rPr>
      </w:pPr>
    </w:p>
    <w:p>
      <w:pPr>
        <w:ind w:left="424" w:right="300" w:hanging="424"/>
        <w:spacing w:after="0" w:line="266"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exercise all the powers of the Company to raise or borrow money and to mortgage or charge all or any part of the undertaking, property and assets (present and future) and uncalled capital of the Company and, subject to the Act, to issue debentures, bonds and other securities, whether outright or as collateral security for any debt, liability or obligation of the Company or of any third party.</w:t>
      </w:r>
    </w:p>
    <w:p>
      <w:pPr>
        <w:spacing w:after="0" w:line="81"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Debentures, bonds and other securities may be made assignable free from any equities between the Company and the person to whom the same may be issued.</w:t>
      </w:r>
    </w:p>
    <w:p>
      <w:pPr>
        <w:spacing w:after="0" w:line="67"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debentures, bonds or other securities may be issued at a discount (other than shares), premium or otherwise and with any special privileges as to redemption, surrender, drawings, allotment of shares, attending and voting at general meetings of the Company, appointment of Directors and otherwise.</w:t>
      </w:r>
    </w:p>
    <w:p>
      <w:pPr>
        <w:spacing w:after="0" w:line="81" w:lineRule="exact"/>
        <w:rPr>
          <w:sz w:val="20"/>
          <w:szCs w:val="20"/>
          <w:color w:val="auto"/>
        </w:rPr>
      </w:pPr>
    </w:p>
    <w:p>
      <w:pPr>
        <w:ind w:left="984" w:right="320" w:hanging="984"/>
        <w:spacing w:after="0" w:line="282" w:lineRule="auto"/>
        <w:tabs>
          <w:tab w:leader="none" w:pos="964" w:val="left"/>
        </w:tabs>
        <w:rPr>
          <w:sz w:val="20"/>
          <w:szCs w:val="20"/>
          <w:color w:val="auto"/>
        </w:rPr>
      </w:pPr>
      <w:r>
        <w:rPr>
          <w:rFonts w:ascii="Times New Roman" w:cs="Times New Roman" w:eastAsia="Times New Roman" w:hAnsi="Times New Roman"/>
          <w:sz w:val="18"/>
          <w:szCs w:val="18"/>
          <w:color w:val="auto"/>
        </w:rPr>
        <w:t>111.   (1)</w:t>
      </w:r>
      <w:r>
        <w:rPr>
          <w:sz w:val="20"/>
          <w:szCs w:val="20"/>
          <w:color w:val="auto"/>
        </w:rPr>
        <w:tab/>
      </w:r>
      <w:r>
        <w:rPr>
          <w:rFonts w:ascii="Times New Roman" w:cs="Times New Roman" w:eastAsia="Times New Roman" w:hAnsi="Times New Roman"/>
          <w:sz w:val="18"/>
          <w:szCs w:val="18"/>
          <w:color w:val="auto"/>
        </w:rPr>
        <w:t>Where any uncalled capital of the Company is charged, all persons taking any subsequent charge thereon shall take the same subject to such prior charge, and shall not be entitled, by notice to the Members or otherwise, to obtain priority over such prior charge.</w:t>
      </w:r>
    </w:p>
    <w:p>
      <w:pPr>
        <w:spacing w:after="0" w:line="67" w:lineRule="exact"/>
        <w:rPr>
          <w:sz w:val="20"/>
          <w:szCs w:val="20"/>
          <w:color w:val="auto"/>
        </w:rPr>
      </w:pPr>
    </w:p>
    <w:p>
      <w:pPr>
        <w:ind w:left="964" w:hanging="532"/>
        <w:spacing w:after="0" w:line="266" w:lineRule="auto"/>
        <w:tabs>
          <w:tab w:leader="none" w:pos="9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a proper register to be kept, in accordance with the provisions of the Act, of all charges specifically affecting the property of the Company and of any series of debentures issued by the Company and shall duly comply with the requirements of the Act in regard to the registration of charges and debentures therein specified and otherwise.</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PROCEEDINGS OF THE DIRECTORS</w:t>
      </w:r>
    </w:p>
    <w:p>
      <w:pPr>
        <w:spacing w:after="0" w:line="256" w:lineRule="exact"/>
        <w:rPr>
          <w:sz w:val="20"/>
          <w:szCs w:val="20"/>
          <w:color w:val="auto"/>
        </w:rPr>
      </w:pPr>
    </w:p>
    <w:p>
      <w:pPr>
        <w:jc w:val="both"/>
        <w:ind w:left="424" w:right="40" w:hanging="424"/>
        <w:spacing w:after="0" w:line="266"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meet for the despatch of business, adjourn and otherwise regulate its meetings as it considers appropriate. Questions arising at any meeting shall be determined by a majority of votes unless otherwise provided in these Articles. In the case of an equality of votes, the chairman of the meeting shall have a second or casting vote.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62" w:name="page63"/>
    <w:bookmarkEnd w:id="62"/>
    <w:p>
      <w:pPr>
        <w:ind w:left="424" w:right="180" w:hanging="424"/>
        <w:spacing w:after="0" w:line="266"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meeting of the Board may be convened by the Secretary on request of a Director or by any Director. The Secretary shall convene a meeting of the Board of which notice may be given in writing or by telephone or in such other manner as the Board may from time to time determine whenever he shall be required so to do by the Chairman or any Director.</w:t>
      </w:r>
    </w:p>
    <w:p>
      <w:pPr>
        <w:spacing w:after="0" w:line="81" w:lineRule="exact"/>
        <w:rPr>
          <w:rFonts w:ascii="Times New Roman" w:cs="Times New Roman" w:eastAsia="Times New Roman" w:hAnsi="Times New Roman"/>
          <w:sz w:val="18"/>
          <w:szCs w:val="18"/>
          <w:color w:val="auto"/>
        </w:rPr>
      </w:pPr>
    </w:p>
    <w:p>
      <w:pPr>
        <w:ind w:left="964" w:right="40" w:hanging="532"/>
        <w:spacing w:after="0" w:line="258" w:lineRule="auto"/>
        <w:tabs>
          <w:tab w:leader="none" w:pos="96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Board may be fixed by the Board and, unless so fixed at any other number, shall be a majority of the Directors then in office. An alternate Director shall be counted in a quorum in the case of the absence of a Director for whom he is the alternate, and may be counted more than once for the purpose of determining whether or not a quorum is present when he is acting as alternate for one or more Directors. The Company shall not recognize any actions taken at any meeting of the Board of Directors where a quorum was not properly constituted in accordance with the foregoing.</w:t>
      </w:r>
    </w:p>
    <w:p>
      <w:pPr>
        <w:spacing w:after="0" w:line="88"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participate in any meeting of the Board by means of a conference telephone or other communications equipment through which all persons participating in the meeting can communicate with each other simultaneously and instantaneously and, for the purpose of counting a quorum, such participation shall constitute presence at a meeting as if those participating were present in person.</w:t>
      </w:r>
    </w:p>
    <w:p>
      <w:pPr>
        <w:spacing w:after="0" w:line="81" w:lineRule="exact"/>
        <w:rPr>
          <w:rFonts w:ascii="Times New Roman" w:cs="Times New Roman" w:eastAsia="Times New Roman" w:hAnsi="Times New Roman"/>
          <w:sz w:val="18"/>
          <w:szCs w:val="18"/>
          <w:color w:val="auto"/>
        </w:rPr>
      </w:pPr>
    </w:p>
    <w:p>
      <w:pPr>
        <w:ind w:left="964" w:right="360" w:hanging="532"/>
        <w:spacing w:after="0" w:line="266" w:lineRule="auto"/>
        <w:tabs>
          <w:tab w:leader="none" w:pos="96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ceases to be a Director at a Board meeting may continue to be present and to act as a Director and be counted in the quorum until the termination of such Board meeting if no other Director objects and if otherwise a quorum of Directors would not be present.</w:t>
      </w:r>
    </w:p>
    <w:p>
      <w:pPr>
        <w:spacing w:after="0" w:line="81"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or a sole continuing Director may act notwithstanding any vacancy in the Board but, if and so long as the number of Directors is reduced below the minimum number fixed by or in accordance with these Articles, the continuing Directors or Director, notwithstanding that the number of Directors is below the number fixed by or in accordance with these Articles as the quorum or that there is only one continuing Director, may act for the purpose of filling vacancies in the Board or of summoning general meetings of the Company but not for any other purpose.</w:t>
      </w:r>
    </w:p>
    <w:p>
      <w:pPr>
        <w:spacing w:after="0" w:line="88"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shall be the chairman of all meetings of the Board. If the Chairman of the Board is not present at any meeting within five (5) minutes after the time appointed for holding the same, the Directors present may choose one of their number to be chairman of the meeting.</w:t>
      </w:r>
    </w:p>
    <w:p>
      <w:pPr>
        <w:spacing w:after="0" w:line="81"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at which a quorum is present shall be competent to exercise all the powers, authorities and discretions for the time being vested in or exercisable by the Board.</w:t>
      </w:r>
    </w:p>
    <w:p>
      <w:pPr>
        <w:spacing w:after="0" w:line="67" w:lineRule="exact"/>
        <w:rPr>
          <w:sz w:val="20"/>
          <w:szCs w:val="20"/>
          <w:color w:val="auto"/>
        </w:rPr>
      </w:pPr>
    </w:p>
    <w:p>
      <w:pPr>
        <w:ind w:left="984" w:right="60" w:hanging="984"/>
        <w:spacing w:after="0" w:line="258" w:lineRule="auto"/>
        <w:tabs>
          <w:tab w:leader="none" w:pos="964" w:val="left"/>
        </w:tabs>
        <w:rPr>
          <w:sz w:val="20"/>
          <w:szCs w:val="20"/>
          <w:color w:val="auto"/>
        </w:rPr>
      </w:pPr>
      <w:r>
        <w:rPr>
          <w:rFonts w:ascii="Times New Roman" w:cs="Times New Roman" w:eastAsia="Times New Roman" w:hAnsi="Times New Roman"/>
          <w:sz w:val="18"/>
          <w:szCs w:val="18"/>
          <w:color w:val="auto"/>
        </w:rPr>
        <w:t>117.    (1)</w:t>
        <w:tab/>
        <w:t>The Board may delegate any of its powers, authorities and discretions to committees (including, without limitation, the Audit Committee),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63" w:name="page64"/>
    <w:bookmarkEnd w:id="63"/>
    <w:p>
      <w:pPr>
        <w:ind w:left="1184" w:right="80" w:hanging="644"/>
        <w:spacing w:after="0" w:line="261" w:lineRule="auto"/>
        <w:tabs>
          <w:tab w:leader="none" w:pos="118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acts done by any such committee in conformity with such regulations, and in fulfilment of the purposes for which it was appointed, but not otherwise, shall have like force and effect as if done by the Board, and the Board (or if the Board delegates such power, the committee) shall have power to remunerate the members of any such committee, and charge such remuneration to the current expenses of the Company.</w:t>
      </w:r>
    </w:p>
    <w:p>
      <w:pPr>
        <w:spacing w:after="0" w:line="85" w:lineRule="exact"/>
        <w:rPr>
          <w:rFonts w:ascii="Times New Roman" w:cs="Times New Roman" w:eastAsia="Times New Roman" w:hAnsi="Times New Roman"/>
          <w:sz w:val="18"/>
          <w:szCs w:val="18"/>
          <w:color w:val="auto"/>
        </w:rPr>
      </w:pPr>
    </w:p>
    <w:p>
      <w:pPr>
        <w:ind w:left="544" w:right="120" w:hanging="544"/>
        <w:spacing w:after="0" w:line="261" w:lineRule="auto"/>
        <w:tabs>
          <w:tab w:leader="none" w:pos="5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 indicating, without limitation, any committee charter adopted by the Board for purposes or in respect of any such committee.</w:t>
      </w:r>
    </w:p>
    <w:p>
      <w:pPr>
        <w:spacing w:after="0" w:line="85" w:lineRule="exact"/>
        <w:rPr>
          <w:rFonts w:ascii="Times New Roman" w:cs="Times New Roman" w:eastAsia="Times New Roman" w:hAnsi="Times New Roman"/>
          <w:sz w:val="18"/>
          <w:szCs w:val="18"/>
          <w:color w:val="auto"/>
        </w:rPr>
      </w:pPr>
    </w:p>
    <w:p>
      <w:pPr>
        <w:ind w:left="544" w:hanging="544"/>
        <w:spacing w:after="0" w:line="256" w:lineRule="auto"/>
        <w:tabs>
          <w:tab w:leader="none" w:pos="5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except such as are temporarily unable to act through ill-health or disability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be as valid and effectual as if a resolution had been passed at a meeting of the Board duly convened and held. Such resolution may be contained in one document or in several documents in like form each signed by one or more of the Directors and for this purpose a facsimile signature of a Director shall be treated as valid.</w:t>
      </w:r>
    </w:p>
    <w:p>
      <w:pPr>
        <w:spacing w:after="0" w:line="92" w:lineRule="exact"/>
        <w:rPr>
          <w:rFonts w:ascii="Times New Roman" w:cs="Times New Roman" w:eastAsia="Times New Roman" w:hAnsi="Times New Roman"/>
          <w:sz w:val="18"/>
          <w:szCs w:val="18"/>
          <w:color w:val="auto"/>
        </w:rPr>
      </w:pPr>
    </w:p>
    <w:p>
      <w:pPr>
        <w:ind w:left="544" w:right="40" w:hanging="544"/>
        <w:spacing w:after="0" w:line="261" w:lineRule="auto"/>
        <w:tabs>
          <w:tab w:leader="none" w:pos="5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bona fide done by the Board or by any committee or by any person acting as a Director or members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56" w:lineRule="exact"/>
        <w:rPr>
          <w:sz w:val="20"/>
          <w:szCs w:val="20"/>
          <w:color w:val="auto"/>
        </w:rPr>
      </w:pPr>
    </w:p>
    <w:p>
      <w:pPr>
        <w:ind w:left="544" w:right="340" w:hanging="544"/>
        <w:spacing w:after="0" w:line="261" w:lineRule="auto"/>
        <w:tabs>
          <w:tab w:leader="none" w:pos="5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freedom of the Directors to establish any other committees, for so long as the shares of the Company (or depositary receipts therefor) are listed or quoted on the Designated Stock Exchange, the Board shall establish and maintain an Audit Committee as a committee of the Board, the composition and responsibilities of which shall comply with the rules of the Designated Stock Exchange, as applicable to the Company, and the rules and regulations of the SEC.</w:t>
      </w:r>
    </w:p>
    <w:p>
      <w:pPr>
        <w:spacing w:after="0" w:line="8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122.     (1)</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The Board shall adopt a formal written audit committee charter and review and assess the adequacy of the formal written charter on an</w:t>
            </w:r>
          </w:p>
        </w:tc>
      </w:tr>
      <w:tr>
        <w:trPr>
          <w:trHeight w:val="234"/>
        </w:trPr>
        <w:tc>
          <w:tcPr>
            <w:tcW w:w="1000" w:type="dxa"/>
            <w:vAlign w:val="bottom"/>
          </w:tcPr>
          <w:p>
            <w:pPr>
              <w:spacing w:after="0"/>
              <w:rPr>
                <w:sz w:val="20"/>
                <w:szCs w:val="20"/>
                <w:color w:val="auto"/>
              </w:rPr>
            </w:pP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annual basis.</w:t>
            </w:r>
          </w:p>
        </w:tc>
      </w:tr>
    </w:tbl>
    <w:p>
      <w:pPr>
        <w:spacing w:after="0" w:line="103" w:lineRule="exact"/>
        <w:rPr>
          <w:sz w:val="20"/>
          <w:szCs w:val="20"/>
          <w:color w:val="auto"/>
        </w:rPr>
      </w:pPr>
    </w:p>
    <w:p>
      <w:pPr>
        <w:jc w:val="center"/>
        <w:ind w:left="5424" w:right="1560" w:hanging="4884"/>
        <w:spacing w:after="0" w:line="454" w:lineRule="auto"/>
        <w:tabs>
          <w:tab w:leader="none" w:pos="11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meet at least once every financial quarter, or more frequently as circumstances dictate. 59</w:t>
      </w:r>
    </w:p>
    <w:p>
      <w:pPr>
        <w:sectPr>
          <w:pgSz w:w="11900" w:h="16838" w:orient="portrait"/>
          <w:cols w:equalWidth="0" w:num="1">
            <w:col w:w="10984"/>
          </w:cols>
          <w:pgMar w:left="436" w:top="270" w:right="479" w:bottom="1440" w:gutter="0" w:footer="0" w:header="0"/>
        </w:sectPr>
      </w:pPr>
    </w:p>
    <w:bookmarkStart w:id="64" w:name="page65"/>
    <w:bookmarkEnd w:id="64"/>
    <w:p>
      <w:pPr>
        <w:ind w:left="544" w:hanging="544"/>
        <w:spacing w:after="0" w:line="254" w:lineRule="auto"/>
        <w:tabs>
          <w:tab w:leader="none" w:pos="5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so long as the shares of the Company (or depositary receipts therefor) are listed or quoted on the Designated Stock Exchange, the Company shall conduct an appropriate review of all related party transactions on an ongoing basis and shall utilize the Audit Committee for the review and approval of potential conflicts of interest. Specifically, the Audit Committee shall approve any transaction or transactions between the Company and any of the following parties: (i) any shareholder owning an interest in the voting power of the Company or any subsidiary of the Company that gives such shareholder significant influence over the Company or any subsidiary of the Company, (ii) any director or executive officer of the Company or any subsidiary of the Company and any relative of such director or executive officer, (iii) any person in which a substantial interest in the voting power of the Company is owned, directly or indirectly, by any person described in (i) or (ii) or over which such a person is able to exercise significant influence, and (iv) any affiliate (other than a subsidiary)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986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OFFICERS</w:t>
            </w:r>
          </w:p>
        </w:tc>
      </w:tr>
      <w:tr>
        <w:trPr>
          <w:trHeight w:val="44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124.     (1)</w:t>
            </w:r>
          </w:p>
        </w:tc>
        <w:tc>
          <w:tcPr>
            <w:tcW w:w="98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The officers of the Company shall consist of the Chairman of the Board, the Directors, the Secretary and such additional officers (who</w:t>
            </w:r>
          </w:p>
        </w:tc>
      </w:tr>
      <w:tr>
        <w:trPr>
          <w:trHeight w:val="216"/>
        </w:trPr>
        <w:tc>
          <w:tcPr>
            <w:tcW w:w="1000" w:type="dxa"/>
            <w:vAlign w:val="bottom"/>
          </w:tcPr>
          <w:p>
            <w:pPr>
              <w:spacing w:after="0"/>
              <w:rPr>
                <w:sz w:val="18"/>
                <w:szCs w:val="18"/>
                <w:color w:val="auto"/>
              </w:rPr>
            </w:pPr>
          </w:p>
        </w:tc>
        <w:tc>
          <w:tcPr>
            <w:tcW w:w="9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or may not be Directors) as the Board may from time to time determine, all of whom shall be deemed to be officers for the</w:t>
            </w:r>
          </w:p>
        </w:tc>
      </w:tr>
      <w:tr>
        <w:trPr>
          <w:trHeight w:val="234"/>
        </w:trPr>
        <w:tc>
          <w:tcPr>
            <w:tcW w:w="1000" w:type="dxa"/>
            <w:vAlign w:val="bottom"/>
          </w:tcPr>
          <w:p>
            <w:pPr>
              <w:spacing w:after="0"/>
              <w:rPr>
                <w:sz w:val="20"/>
                <w:szCs w:val="20"/>
                <w:color w:val="auto"/>
              </w:rPr>
            </w:pPr>
          </w:p>
        </w:tc>
        <w:tc>
          <w:tcPr>
            <w:tcW w:w="9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purposes of the Act and these Articles.</w:t>
            </w:r>
          </w:p>
        </w:tc>
      </w:tr>
    </w:tbl>
    <w:p>
      <w:pPr>
        <w:spacing w:after="0" w:line="103" w:lineRule="exact"/>
        <w:rPr>
          <w:sz w:val="20"/>
          <w:szCs w:val="20"/>
          <w:color w:val="auto"/>
        </w:rPr>
      </w:pPr>
    </w:p>
    <w:p>
      <w:pPr>
        <w:ind w:left="1184" w:hanging="644"/>
        <w:spacing w:after="0"/>
        <w:tabs>
          <w:tab w:leader="none" w:pos="118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Chairman shall be elected and appointed by a majority of the Directors then in office.</w:t>
      </w:r>
    </w:p>
    <w:p>
      <w:pPr>
        <w:spacing w:after="0" w:line="130" w:lineRule="exact"/>
        <w:rPr>
          <w:rFonts w:ascii="Times New Roman" w:cs="Times New Roman" w:eastAsia="Times New Roman" w:hAnsi="Times New Roman"/>
          <w:sz w:val="18"/>
          <w:szCs w:val="18"/>
          <w:color w:val="auto"/>
        </w:rPr>
      </w:pPr>
    </w:p>
    <w:p>
      <w:pPr>
        <w:jc w:val="both"/>
        <w:ind w:left="1184" w:right="280" w:hanging="644"/>
        <w:spacing w:after="0" w:line="312" w:lineRule="auto"/>
        <w:tabs>
          <w:tab w:leader="none" w:pos="118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shall preside as chairman at every meeting of the Board. To the extent the Chairman is not present at a meeting of the Board or is not willing to chair the meeting, the attending Directors shall choose a Director to be the chairman for that meeting only.</w:t>
      </w:r>
    </w:p>
    <w:p>
      <w:pPr>
        <w:spacing w:after="0" w:line="45"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equality of votes, the Chairman shall have a second or casting vote as to the matters to be decided by the Board.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shall receive such remuneration as the Directors may from time to time determine.</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125.     (1)</w:t>
            </w:r>
          </w:p>
        </w:tc>
        <w:tc>
          <w:tcPr>
            <w:tcW w:w="99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The Secretary and additional officers, if any, shall be appointed by the Board and shall hold office on such terms and for such period as</w:t>
            </w:r>
          </w:p>
        </w:tc>
      </w:tr>
      <w:tr>
        <w:trPr>
          <w:trHeight w:val="216"/>
        </w:trPr>
        <w:tc>
          <w:tcPr>
            <w:tcW w:w="100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Board may determine. If thought fit, two or more persons may be appointed as joint Secretaries. The Board may also appoint from</w:t>
            </w:r>
          </w:p>
        </w:tc>
      </w:tr>
      <w:tr>
        <w:trPr>
          <w:trHeight w:val="234"/>
        </w:trPr>
        <w:tc>
          <w:tcPr>
            <w:tcW w:w="100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to time on such terms as it thinks fit one or more assistant or deputy Secretaries.</w:t>
            </w:r>
          </w:p>
        </w:tc>
      </w:tr>
    </w:tbl>
    <w:p>
      <w:pPr>
        <w:spacing w:after="0" w:line="103" w:lineRule="exact"/>
        <w:rPr>
          <w:sz w:val="20"/>
          <w:szCs w:val="20"/>
          <w:color w:val="auto"/>
        </w:rPr>
      </w:pPr>
    </w:p>
    <w:p>
      <w:pPr>
        <w:ind w:left="1184" w:right="120" w:hanging="644"/>
        <w:spacing w:after="0" w:line="266" w:lineRule="auto"/>
        <w:tabs>
          <w:tab w:leader="none" w:pos="118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meetings of the Members and the Board and shall keep correct minutes of such meetings and enter the same in the proper books provided for the purpose. He shall perform such other duties as are prescribed by the Act or these Articles or as may be prescribed by the Board.</w:t>
      </w:r>
    </w:p>
    <w:p>
      <w:pPr>
        <w:spacing w:after="0" w:line="81"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the Company shall have such powers and perform such duties in the management, business and affairs of the Company as may be delegated to them by the Directors from time to time.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4"/>
          </w:cols>
          <w:pgMar w:left="436" w:top="270" w:right="479" w:bottom="1440" w:gutter="0" w:footer="0" w:header="0"/>
        </w:sectPr>
      </w:pPr>
    </w:p>
    <w:bookmarkStart w:id="65" w:name="page66"/>
    <w:bookmarkEnd w:id="65"/>
    <w:p>
      <w:pPr>
        <w:ind w:left="544" w:right="160" w:hanging="544"/>
        <w:spacing w:after="0" w:line="282" w:lineRule="auto"/>
        <w:tabs>
          <w:tab w:leader="none" w:pos="5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provision of the Act or of these Articles requiring or authorising a thing to be done by or to a Director and the Secretary shall not be satisfied by its being done by or to the same person acting both as Director and as or in place of the Secretary.</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REGISTER OF DIRECTORS AND OFFICERS</w:t>
      </w:r>
    </w:p>
    <w:p>
      <w:pPr>
        <w:spacing w:after="0" w:line="256" w:lineRule="exact"/>
        <w:rPr>
          <w:sz w:val="20"/>
          <w:szCs w:val="20"/>
          <w:color w:val="auto"/>
        </w:rPr>
      </w:pPr>
    </w:p>
    <w:p>
      <w:pPr>
        <w:ind w:left="544" w:right="160" w:hanging="544"/>
        <w:spacing w:after="0" w:line="261" w:lineRule="auto"/>
        <w:tabs>
          <w:tab w:leader="none" w:pos="5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to be kept in one or more books at its Office a Register of Directors and Officers in which there shall be entered the full names and addresses of the Directors and Officers and such other particulars as required by the Act or as the Directors may determine. The Company shall send to the Registrar of Companies in the Cayman Islands a copy of such register, and shall from time to time notify to the said Registrar of any change that takes place in relation to such Directors and Officers as required by the Act.</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MINUTES</w:t>
      </w:r>
    </w:p>
    <w:p>
      <w:pPr>
        <w:spacing w:after="0" w:line="25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color w:val="auto"/>
        </w:rPr>
        <w:t>129.     (1)</w:t>
      </w:r>
      <w:r>
        <w:rPr>
          <w:sz w:val="20"/>
          <w:szCs w:val="20"/>
          <w:color w:val="auto"/>
        </w:rPr>
        <w:tab/>
      </w:r>
      <w:r>
        <w:rPr>
          <w:rFonts w:ascii="Times New Roman" w:cs="Times New Roman" w:eastAsia="Times New Roman" w:hAnsi="Times New Roman"/>
          <w:sz w:val="18"/>
          <w:szCs w:val="18"/>
          <w:color w:val="auto"/>
        </w:rPr>
        <w:t>The Board shall cause minutes to be duly entered in books provided for the purpose:</w:t>
      </w:r>
    </w:p>
    <w:p>
      <w:pPr>
        <w:spacing w:after="0" w:line="131" w:lineRule="exact"/>
        <w:rPr>
          <w:sz w:val="20"/>
          <w:szCs w:val="20"/>
          <w:color w:val="auto"/>
        </w:rPr>
      </w:pPr>
    </w:p>
    <w:p>
      <w:pPr>
        <w:ind w:left="1744" w:hanging="543"/>
        <w:spacing w:after="0"/>
        <w:tabs>
          <w:tab w:leader="none" w:pos="174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elections and appointments of officers;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names of the Directors present at each meeting of the Directors and of any committee of the Directors;</w:t>
      </w:r>
    </w:p>
    <w:p>
      <w:pPr>
        <w:spacing w:after="0" w:line="130" w:lineRule="exact"/>
        <w:rPr>
          <w:rFonts w:ascii="Times New Roman" w:cs="Times New Roman" w:eastAsia="Times New Roman" w:hAnsi="Times New Roman"/>
          <w:sz w:val="18"/>
          <w:szCs w:val="18"/>
          <w:color w:val="auto"/>
        </w:rPr>
      </w:pPr>
    </w:p>
    <w:p>
      <w:pPr>
        <w:ind w:left="1744" w:right="120" w:hanging="543"/>
        <w:spacing w:after="0" w:line="282" w:lineRule="auto"/>
        <w:tabs>
          <w:tab w:leader="none" w:pos="174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resolutions and proceedings of each general meeting of the Members, meetings of the Board and meetings of committees of the Board and where there are managers, of all proceedings of meetings of the managers.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shall be kept by the Secretary at the Office.</w:t>
      </w:r>
    </w:p>
    <w:p>
      <w:pPr>
        <w:spacing w:after="0" w:line="200" w:lineRule="exact"/>
        <w:rPr>
          <w:sz w:val="20"/>
          <w:szCs w:val="20"/>
          <w:color w:val="auto"/>
        </w:rPr>
      </w:pP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000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SEAL</w:t>
            </w:r>
          </w:p>
        </w:tc>
      </w:tr>
      <w:tr>
        <w:trPr>
          <w:trHeight w:val="44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130.     (1)</w:t>
            </w: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Company shall have one or more Seals, as the Board may determine. For the purpose of sealing documents creating or evidencing</w:t>
            </w:r>
          </w:p>
        </w:tc>
      </w:tr>
      <w:tr>
        <w:trPr>
          <w:trHeight w:val="216"/>
        </w:trPr>
        <w:tc>
          <w:tcPr>
            <w:tcW w:w="1000" w:type="dxa"/>
            <w:vAlign w:val="bottom"/>
          </w:tcPr>
          <w:p>
            <w:pPr>
              <w:spacing w:after="0"/>
              <w:rPr>
                <w:sz w:val="18"/>
                <w:szCs w:val="18"/>
                <w:color w:val="auto"/>
              </w:rPr>
            </w:pP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issued by the Company, the Company may have a securities seal which is a facsimile of the Seal of the Company with the</w:t>
            </w:r>
          </w:p>
        </w:tc>
      </w:tr>
      <w:tr>
        <w:trPr>
          <w:trHeight w:val="234"/>
        </w:trPr>
        <w:tc>
          <w:tcPr>
            <w:tcW w:w="1000" w:type="dxa"/>
            <w:vAlign w:val="bottom"/>
          </w:tcPr>
          <w:p>
            <w:pPr>
              <w:spacing w:after="0"/>
              <w:rPr>
                <w:sz w:val="20"/>
                <w:szCs w:val="20"/>
                <w:color w:val="auto"/>
              </w:rPr>
            </w:pP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addition of the word “Securities” on its face or in such other form as the Board may approve. The Board shall provide for the custody of</w:t>
            </w:r>
          </w:p>
        </w:tc>
      </w:tr>
    </w:tbl>
    <w:p>
      <w:pPr>
        <w:ind w:left="1204" w:right="40"/>
        <w:spacing w:after="0" w:line="252" w:lineRule="auto"/>
        <w:rPr>
          <w:sz w:val="20"/>
          <w:szCs w:val="20"/>
          <w:color w:val="auto"/>
        </w:rPr>
      </w:pPr>
      <w:r>
        <w:rPr>
          <w:rFonts w:ascii="Times New Roman" w:cs="Times New Roman" w:eastAsia="Times New Roman" w:hAnsi="Times New Roman"/>
          <w:sz w:val="18"/>
          <w:szCs w:val="18"/>
          <w:color w:val="auto"/>
        </w:rPr>
        <w:t>each Seal and no Seal shall be used without the authority of the Board or of a committee of the Board authorised by the Board in that behalf. Subject as otherwise provided in these Articles, any instrument to which a Seal is affixed shall be signed autographically by one Director and the Secretary or by two Directors or by such other person (including a Director) or persons as the Board may appoint, either generally or in any particular case, save that as regards any certificates for shares or debentures or other securities of the Company the Board may by resolution determine that such signatures or either of them shall be dispensed with or affixed by some method or system of mechanical signature. Every instrument executed in manner provided by this Article shall be deemed to be sealed and executed with the authority of the Board previously given.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66" w:name="page67"/>
    <w:bookmarkEnd w:id="66"/>
    <w:p>
      <w:pPr>
        <w:ind w:left="1184" w:right="80" w:hanging="644"/>
        <w:spacing w:after="0" w:line="261" w:lineRule="auto"/>
        <w:tabs>
          <w:tab w:leader="none" w:pos="118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the Company has a Seal for use abroad, the Board may by writing under the Seal appoint any agent or committee abroad to be the duly authorised agent of the Company for the purpose of affixing and using such Seal and the Board may impose restrictions on the use thereof as may be thought fit. Wherever in these Articles reference is made to the Seal, the reference shall, when and so far as may be applicable, be deemed to include any such other Seal as aforesaid.</w:t>
      </w:r>
    </w:p>
    <w:p>
      <w:pPr>
        <w:spacing w:after="0" w:line="39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AUTHENTICATION OF DOCUMENTS</w:t>
      </w:r>
    </w:p>
    <w:p>
      <w:pPr>
        <w:spacing w:after="0" w:line="256" w:lineRule="exact"/>
        <w:rPr>
          <w:sz w:val="20"/>
          <w:szCs w:val="20"/>
          <w:color w:val="auto"/>
        </w:rPr>
      </w:pPr>
    </w:p>
    <w:p>
      <w:pPr>
        <w:ind w:left="544" w:hanging="544"/>
        <w:spacing w:after="0" w:line="254" w:lineRule="auto"/>
        <w:tabs>
          <w:tab w:leader="none" w:pos="5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the Secretary or any person appointed by the Board for the purpose may authenticate any documents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or accounts are elsewhere than at the Office or the head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spacing w:after="0" w:line="200" w:lineRule="exact"/>
        <w:rPr>
          <w:sz w:val="20"/>
          <w:szCs w:val="20"/>
          <w:color w:val="auto"/>
        </w:rPr>
      </w:pPr>
    </w:p>
    <w:p>
      <w:pPr>
        <w:spacing w:after="0" w:line="2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DESTRUCTION OF DOCUMENTS</w:t>
      </w:r>
    </w:p>
    <w:p>
      <w:pPr>
        <w:spacing w:after="0" w:line="25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color w:val="auto"/>
        </w:rPr>
        <w:t>132.     (1)</w:t>
      </w:r>
      <w:r>
        <w:rPr>
          <w:sz w:val="20"/>
          <w:szCs w:val="20"/>
          <w:color w:val="auto"/>
        </w:rPr>
        <w:tab/>
      </w:r>
      <w:r>
        <w:rPr>
          <w:rFonts w:ascii="Times New Roman" w:cs="Times New Roman" w:eastAsia="Times New Roman" w:hAnsi="Times New Roman"/>
          <w:sz w:val="17"/>
          <w:szCs w:val="17"/>
          <w:color w:val="auto"/>
        </w:rPr>
        <w:t>The Company shall be entitled to destroy the following documents at the following times:</w:t>
      </w:r>
    </w:p>
    <w:p>
      <w:pPr>
        <w:spacing w:after="0" w:line="131" w:lineRule="exact"/>
        <w:rPr>
          <w:sz w:val="20"/>
          <w:szCs w:val="20"/>
          <w:color w:val="auto"/>
        </w:rPr>
      </w:pPr>
    </w:p>
    <w:p>
      <w:pPr>
        <w:ind w:left="1744" w:hanging="543"/>
        <w:spacing w:after="0"/>
        <w:tabs>
          <w:tab w:leader="none" w:pos="17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certificate which has been cancelled at any time after the expiry of one (1) year from the date of such cancellation;</w:t>
      </w:r>
    </w:p>
    <w:p>
      <w:pPr>
        <w:spacing w:after="0" w:line="130" w:lineRule="exact"/>
        <w:rPr>
          <w:rFonts w:ascii="Times New Roman" w:cs="Times New Roman" w:eastAsia="Times New Roman" w:hAnsi="Times New Roman"/>
          <w:sz w:val="18"/>
          <w:szCs w:val="18"/>
          <w:color w:val="auto"/>
        </w:rPr>
      </w:pPr>
    </w:p>
    <w:p>
      <w:pPr>
        <w:ind w:left="1744" w:right="80" w:hanging="543"/>
        <w:spacing w:after="0" w:line="312" w:lineRule="auto"/>
        <w:tabs>
          <w:tab w:leader="none" w:pos="174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45" w:lineRule="exact"/>
        <w:rPr>
          <w:rFonts w:ascii="Times New Roman" w:cs="Times New Roman" w:eastAsia="Times New Roman" w:hAnsi="Times New Roman"/>
          <w:sz w:val="17"/>
          <w:szCs w:val="17"/>
          <w:color w:val="auto"/>
        </w:rPr>
      </w:pPr>
    </w:p>
    <w:p>
      <w:pPr>
        <w:ind w:left="1744" w:right="280" w:hanging="543"/>
        <w:spacing w:after="0" w:line="282" w:lineRule="auto"/>
        <w:tabs>
          <w:tab w:leader="none" w:pos="17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instrument of transfer of shares which has been registered at any time after the expiry of seven (7) years from the date of registration;</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allotment letters after the expiry of seven (7) years from the date of issue thereof; and</w:t>
      </w:r>
    </w:p>
    <w:p>
      <w:pPr>
        <w:spacing w:after="0" w:line="130" w:lineRule="exact"/>
        <w:rPr>
          <w:rFonts w:ascii="Times New Roman" w:cs="Times New Roman" w:eastAsia="Times New Roman" w:hAnsi="Times New Roman"/>
          <w:sz w:val="18"/>
          <w:szCs w:val="18"/>
          <w:color w:val="auto"/>
        </w:rPr>
      </w:pPr>
    </w:p>
    <w:p>
      <w:pPr>
        <w:ind w:left="1744" w:right="160" w:hanging="543"/>
        <w:spacing w:after="0" w:line="282" w:lineRule="auto"/>
        <w:tabs>
          <w:tab w:leader="none" w:pos="17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powers of attorney, grants of probate and letters of administration at any time after the expiry of seven (7) years after the account to which the relevant power of attorney, grant of probate or letters of administration related has been closed,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67" w:name="page68"/>
    <w:bookmarkEnd w:id="67"/>
    <w:p>
      <w:pPr>
        <w:ind w:left="98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it shall conclusively be presumed in favour of the Company that every entry in the Register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 (1) the foregoing provisions of this Article shall apply only to the destruction of a document in good faith and without express notice to the Company that the preservation of such document was relevant to a claim;</w:t>
      </w:r>
    </w:p>
    <w:p>
      <w:pPr>
        <w:spacing w:after="0" w:line="5" w:lineRule="exact"/>
        <w:rPr>
          <w:sz w:val="20"/>
          <w:szCs w:val="20"/>
          <w:color w:val="auto"/>
        </w:rPr>
      </w:pPr>
    </w:p>
    <w:p>
      <w:pPr>
        <w:ind w:left="984" w:right="40" w:firstLine="7"/>
        <w:spacing w:after="0" w:line="255" w:lineRule="auto"/>
        <w:tabs>
          <w:tab w:leader="none" w:pos="123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be construed as imposing upon the Company any liability in respect of the destruction of any such document earlier than as aforesaid or in any case where the conditions of proviso (1) above are not fulfilled; and (3) references in this Article to the destruction of any document include references to its disposal in any manner.</w:t>
      </w:r>
    </w:p>
    <w:p>
      <w:pPr>
        <w:spacing w:after="0" w:line="91" w:lineRule="exact"/>
        <w:rPr>
          <w:rFonts w:ascii="Times New Roman" w:cs="Times New Roman" w:eastAsia="Times New Roman" w:hAnsi="Times New Roman"/>
          <w:sz w:val="18"/>
          <w:szCs w:val="18"/>
          <w:color w:val="auto"/>
        </w:rPr>
      </w:pPr>
    </w:p>
    <w:p>
      <w:pPr>
        <w:ind w:left="964" w:right="160" w:hanging="532"/>
        <w:spacing w:after="0" w:line="258" w:lineRule="auto"/>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contained in these Articles, the Directors may, if permitted by applicable law, authorise the destruction of documents set out in sub-paragraphs (1)(a) to (1)(e) of paragraph (1) of this Article and any other documents in relation to share registration which have been microfilmed or electronically stored by the Company or by the share registrar on its behalf provided always that this Article shall apply only to the destruction of a document in good faith and without express notice to the Company and its share registrar that the preservation of such document was relevant to a claim.</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DIVIDENDS AND OTHER PAYMENTS</w:t>
      </w:r>
    </w:p>
    <w:p>
      <w:pPr>
        <w:spacing w:after="0" w:line="256" w:lineRule="exact"/>
        <w:rPr>
          <w:sz w:val="20"/>
          <w:szCs w:val="20"/>
          <w:color w:val="auto"/>
        </w:rPr>
      </w:pPr>
    </w:p>
    <w:p>
      <w:pPr>
        <w:ind w:left="424" w:right="560" w:hanging="424"/>
        <w:spacing w:after="0" w:line="282" w:lineRule="auto"/>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the Company in general meeting or the Board may from time to time declare dividends in any currency to be paid to the Members but no dividend shall be declared in excess of the amount recommended by the Board.</w:t>
      </w:r>
    </w:p>
    <w:p>
      <w:pPr>
        <w:spacing w:after="0" w:line="67"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out of the profits of the Company, realised or unrealised, or from any reserve set aside from profits which the Directors determine is no longer needed. The Board may also declare and pay dividends out of share premium account or any other fund or account which can be authorised for this purpose in accordance with the Act.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so far as the rights attaching to, or the terms of issue of, any share otherwise provide:</w:t>
      </w:r>
    </w:p>
    <w:p>
      <w:pPr>
        <w:spacing w:after="0" w:line="130"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shall be declared and paid according to the amounts paid up on the shares in respect of which the dividend is paid, but no amount paid up on a share in advance of calls shall be treated for the purposes of this Article as paid up on the share; and</w:t>
      </w:r>
    </w:p>
    <w:p>
      <w:pPr>
        <w:spacing w:after="0" w:line="67"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shall be apportioned and paid pro rata according to the amounts paid up on the shares during any portion or portions of the period in respect of which the dividend is paid.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68" w:name="page69"/>
    <w:bookmarkEnd w:id="68"/>
    <w:p>
      <w:pPr>
        <w:ind w:left="424" w:right="80" w:hanging="424"/>
        <w:spacing w:after="0" w:line="254" w:lineRule="auto"/>
        <w:tabs>
          <w:tab w:leader="none" w:pos="4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may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non-preferential rights as well as in respect of those shares which confer on the holders thereof preferential rights with regard to dividend and provided that the Board acts bona fide the Board shall not incur any responsibility to the holders of shares conferring any preference for any damage that they may suffer by reason of the payment of an interim dividend on any shares having deferred or non-preferential rights and may also pay any fixed dividend which is payable on any shares of the Company half-yearly or on any other dates, whenever such profits, in the opinion of the Board, justifies such payment.</w:t>
      </w:r>
    </w:p>
    <w:p>
      <w:pPr>
        <w:spacing w:after="0" w:line="97" w:lineRule="exact"/>
        <w:rPr>
          <w:rFonts w:ascii="Times New Roman" w:cs="Times New Roman" w:eastAsia="Times New Roman" w:hAnsi="Times New Roman"/>
          <w:sz w:val="18"/>
          <w:szCs w:val="18"/>
          <w:color w:val="auto"/>
        </w:rPr>
      </w:pPr>
    </w:p>
    <w:p>
      <w:pPr>
        <w:ind w:left="544" w:right="440" w:hanging="544"/>
        <w:spacing w:after="0" w:line="282" w:lineRule="auto"/>
        <w:tabs>
          <w:tab w:leader="none" w:pos="5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deduct from any dividend or other moneys payable to a Member by the Company on or in respect of any shares all sums of money (if any) presently payable by him to the Company on account of calls or otherwise.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other moneys payable by the Company on or in respect of any share shall bear interest against the Company.</w:t>
      </w:r>
    </w:p>
    <w:p>
      <w:pPr>
        <w:spacing w:after="0" w:line="130" w:lineRule="exact"/>
        <w:rPr>
          <w:rFonts w:ascii="Times New Roman" w:cs="Times New Roman" w:eastAsia="Times New Roman" w:hAnsi="Times New Roman"/>
          <w:sz w:val="18"/>
          <w:szCs w:val="18"/>
          <w:color w:val="auto"/>
        </w:rPr>
      </w:pPr>
    </w:p>
    <w:p>
      <w:pPr>
        <w:ind w:left="544" w:hanging="544"/>
        <w:spacing w:after="0" w:line="254" w:lineRule="auto"/>
        <w:tabs>
          <w:tab w:leader="none" w:pos="5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interest or other sum payable in cash to the holder of shares may be paid by cheque or warrant sent through the post addressed to the holder at his registered address or, in the case of joint holders, addressed to the holder whose name stands first in the Register in respect of the shares at his address as appearing in the Register or addressed to such person and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notwithstanding that it may subsequently appear that the same has been stolen or that any endorsement thereon has been forged. Any one of two or more joint holders may give effectual receipts for any dividends or other moneys payable or property distributable in respect of the shares held by such joint holders.</w:t>
      </w:r>
    </w:p>
    <w:p>
      <w:pPr>
        <w:spacing w:after="0" w:line="93" w:lineRule="exact"/>
        <w:rPr>
          <w:rFonts w:ascii="Times New Roman" w:cs="Times New Roman" w:eastAsia="Times New Roman" w:hAnsi="Times New Roman"/>
          <w:sz w:val="18"/>
          <w:szCs w:val="18"/>
          <w:color w:val="auto"/>
        </w:rPr>
      </w:pPr>
    </w:p>
    <w:p>
      <w:pPr>
        <w:ind w:left="544" w:hanging="544"/>
        <w:spacing w:after="0" w:line="261" w:lineRule="auto"/>
        <w:tabs>
          <w:tab w:leader="none" w:pos="5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or bonuses unclaimed for one (1) year after having been declared may be invested or otherwise made use of by the Board for the benefit of the Company until claimed. Any dividend or bonuses unclaimed after a period of six (6) years from the date of declaration shall be forfeited and shall revert to the Company. The payment by the Board of any unclaimed dividend or other sums payable on or in respect of a share into a separate account shall not constitute the Company a trustee in respect thereof.</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69" w:name="page70"/>
    <w:bookmarkEnd w:id="69"/>
    <w:p>
      <w:pPr>
        <w:ind w:left="544" w:right="60" w:hanging="544"/>
        <w:spacing w:after="0" w:line="269" w:lineRule="auto"/>
        <w:tabs>
          <w:tab w:leader="none" w:pos="544"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the Board has resolved that a dividend be paid or declared, the Board may further resolve that such dividend be satisfied wholly or in part by the distribution of specific assets of any kind and in particular of paid up shares, debentures or warrants to subscribe securities of the Company or any other company, or in any one or more of such ways, and where any difficulty arises in regard to the distribution the Board may settle the same as it thinks expedient, and in particular may issue certificates in respect of fractions of shares, disregard fractional entitlements or round the same up or down, and may fix the value for distribution of such specific assets, or any part thereof, and may determine that cash payments shall be made to any Members upon the footing of the value so fixed in order to adjust the rights of all parties, and may vest any such specific assets in trustees as may seem expedient to the Board and may appoint any person to sign any requisite instruments of transfer and other documents on behalf of the persons entitled to the dividend, and such appointment shall be effective and binding on the Members. The Board may resolve that no such assets shall be made available to Members with registered addresses in any particular territory or territories where, in the absence of a registration statement or other special formalities, such distribution of assets would or might, in the opinion of the Board, be unlawful or impracticable and in such event the only entitlement of the Members aforesaid shall be to receive cash payments as aforesaid. Members affected as a result of the foregoing sentence shall not be or be deemed to be a separate class of Members for any purpose whatsoever.</w:t>
      </w:r>
    </w:p>
    <w:p>
      <w:pPr>
        <w:spacing w:after="0" w:line="3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RESERVES</w:t>
      </w:r>
    </w:p>
    <w:p>
      <w:pPr>
        <w:spacing w:after="0" w:line="256" w:lineRule="exact"/>
        <w:rPr>
          <w:sz w:val="20"/>
          <w:szCs w:val="20"/>
          <w:color w:val="auto"/>
        </w:rPr>
      </w:pPr>
    </w:p>
    <w:p>
      <w:pPr>
        <w:jc w:val="both"/>
        <w:ind w:left="1204" w:right="160" w:hanging="1200"/>
        <w:spacing w:after="0" w:line="261" w:lineRule="auto"/>
        <w:tabs>
          <w:tab w:leader="none" w:pos="1184" w:val="left"/>
        </w:tabs>
        <w:rPr>
          <w:sz w:val="20"/>
          <w:szCs w:val="20"/>
          <w:color w:val="auto"/>
        </w:rPr>
      </w:pPr>
      <w:r>
        <w:rPr>
          <w:rFonts w:ascii="Times New Roman" w:cs="Times New Roman" w:eastAsia="Times New Roman" w:hAnsi="Times New Roman"/>
          <w:sz w:val="18"/>
          <w:szCs w:val="18"/>
          <w:color w:val="auto"/>
        </w:rPr>
        <w:t>142.   (1)</w:t>
      </w:r>
      <w:r>
        <w:rPr>
          <w:sz w:val="20"/>
          <w:szCs w:val="20"/>
          <w:color w:val="auto"/>
        </w:rPr>
        <w:tab/>
      </w:r>
      <w:r>
        <w:rPr>
          <w:rFonts w:ascii="Times New Roman" w:cs="Times New Roman" w:eastAsia="Times New Roman" w:hAnsi="Times New Roman"/>
          <w:sz w:val="18"/>
          <w:szCs w:val="18"/>
          <w:color w:val="auto"/>
        </w:rPr>
        <w:t>The Board shall establish an account to be called the share premium account and shall carry to the credit of such account from time to time a sum equal to the amount or value of the premium paid on the issue of any share in the Company. Unless otherwise provided by the provisions of these Articles, the Board may apply the share premium account in any manner permitted by the Act. The Company shall at all times comply with the provisions of the Act in relation to the share premium account.</w:t>
      </w:r>
    </w:p>
    <w:p>
      <w:pPr>
        <w:spacing w:after="0" w:line="85" w:lineRule="exact"/>
        <w:rPr>
          <w:sz w:val="20"/>
          <w:szCs w:val="20"/>
          <w:color w:val="auto"/>
        </w:rPr>
      </w:pPr>
    </w:p>
    <w:p>
      <w:pPr>
        <w:ind w:left="1204" w:right="120" w:hanging="772"/>
        <w:spacing w:after="0" w:line="256" w:lineRule="auto"/>
        <w:tabs>
          <w:tab w:leader="none" w:pos="120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CAPITALISATION</w:t>
      </w:r>
    </w:p>
    <w:p>
      <w:pPr>
        <w:spacing w:after="0" w:line="256" w:lineRule="exact"/>
        <w:rPr>
          <w:sz w:val="20"/>
          <w:szCs w:val="20"/>
          <w:color w:val="auto"/>
        </w:rPr>
      </w:pPr>
    </w:p>
    <w:p>
      <w:pPr>
        <w:ind w:left="1204" w:hanging="1200"/>
        <w:spacing w:after="0" w:line="253" w:lineRule="auto"/>
        <w:tabs>
          <w:tab w:leader="none" w:pos="1184" w:val="left"/>
        </w:tabs>
        <w:rPr>
          <w:sz w:val="20"/>
          <w:szCs w:val="20"/>
          <w:color w:val="auto"/>
        </w:rPr>
      </w:pPr>
      <w:r>
        <w:rPr>
          <w:rFonts w:ascii="Times New Roman" w:cs="Times New Roman" w:eastAsia="Times New Roman" w:hAnsi="Times New Roman"/>
          <w:sz w:val="18"/>
          <w:szCs w:val="18"/>
          <w:color w:val="auto"/>
        </w:rPr>
        <w:t>143.   (1)</w:t>
      </w:r>
      <w:r>
        <w:rPr>
          <w:sz w:val="20"/>
          <w:szCs w:val="20"/>
          <w:color w:val="auto"/>
        </w:rPr>
        <w:tab/>
      </w:r>
      <w:r>
        <w:rPr>
          <w:rFonts w:ascii="Times New Roman" w:cs="Times New Roman" w:eastAsia="Times New Roman" w:hAnsi="Times New Roman"/>
          <w:sz w:val="18"/>
          <w:szCs w:val="18"/>
          <w:color w:val="auto"/>
        </w:rPr>
        <w:t>The Company may, upon the recommendation of the Board, at any time and from time to time pass an ordinary resolution to the effect that it is desirable to capitalise all or any part of any amount for the time being standing to the credit of any reserve or fund (including a share premium account and capital redemption reserve and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footing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a share premium account and any capital redemption reserve or fund representing unrealised profits, may be applied only in paying up in full unissued shares of the Company to be allotted to such Members credited as fully paid.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70" w:name="page71"/>
    <w:bookmarkEnd w:id="70"/>
    <w:p>
      <w:pPr>
        <w:ind w:left="1184" w:hanging="644"/>
        <w:spacing w:after="0" w:line="253" w:lineRule="auto"/>
        <w:tabs>
          <w:tab w:leader="none" w:pos="118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provisions in these Articles, the Board may resolve to capitalise any sum for the time being standing to the credit of any reserve or fund (including a share premium account and capital redemption reserve and the profit and loss account) whether or not the same is available for distribution by applying such sum in paying up unissued shares to be allotted to (i) service providers and employees (including directors) of the Company or its affiliate (meaning any individual, corporation, partnership, association, joint-stock company, trust, unincorporated association or other entity (other than the Company) that directly, or indirectly through one or more intermediaries, controls, is controlled by or is under common control with, the Company upon exercise or vesting of any options or awards granted under any share incentive scheme or employee benefit scheme or other arrangement which relates to such persons that has been adopted or approved by the Members at a general meeting, or (ii) any trustee of any trust to whom shares are to be allotted and issued by the Company in connection with the operation of any share incentive scheme or employee benefit scheme or other arrangement which relates to such persons that has been adopted or approved by the Members at a general meeting.</w:t>
      </w:r>
    </w:p>
    <w:p>
      <w:pPr>
        <w:spacing w:after="0" w:line="99" w:lineRule="exact"/>
        <w:rPr>
          <w:rFonts w:ascii="Times New Roman" w:cs="Times New Roman" w:eastAsia="Times New Roman" w:hAnsi="Times New Roman"/>
          <w:sz w:val="18"/>
          <w:szCs w:val="18"/>
          <w:color w:val="auto"/>
        </w:rPr>
      </w:pPr>
    </w:p>
    <w:p>
      <w:pPr>
        <w:ind w:left="544" w:right="80" w:hanging="544"/>
        <w:spacing w:after="0" w:line="256" w:lineRule="auto"/>
        <w:tabs>
          <w:tab w:leader="none" w:pos="5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settle, as it considers appropriate, any difficulty arising in regard to any distribution under the last preceding Article and in particular may issue certificates in respect of fractions of shares or authorise any person to sell and transfer any fractions or may resolve that the distribution should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SUBSCRIPTION RIGHTS RESERVE</w:t>
      </w:r>
    </w:p>
    <w:p>
      <w:pPr>
        <w:spacing w:after="0" w:line="256" w:lineRule="exact"/>
        <w:rPr>
          <w:sz w:val="20"/>
          <w:szCs w:val="20"/>
          <w:color w:val="auto"/>
        </w:rPr>
      </w:pPr>
    </w:p>
    <w:p>
      <w:pPr>
        <w:ind w:left="544" w:hanging="544"/>
        <w:spacing w:after="0"/>
        <w:tabs>
          <w:tab w:leader="none" w:pos="5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shall have effect to the extent that they are not prohibited by and are in compliance with the Act:</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61" w:lineRule="auto"/>
        <w:tabs>
          <w:tab w:leader="none" w:pos="118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long as any of the rights attached to any warrants issued by the Company to subscribe for shares of the Company shall remain exercisable, the Company does any act or engages in any transaction which, as a result of any adjustments to the subscription price in accordance with the provisions of the conditions of the warrants, would reduce the subscription price to below the par value of a share, then the following provisions shall apply:</w:t>
      </w:r>
    </w:p>
    <w:p>
      <w:pPr>
        <w:spacing w:after="0" w:line="85" w:lineRule="exact"/>
        <w:rPr>
          <w:rFonts w:ascii="Times New Roman" w:cs="Times New Roman" w:eastAsia="Times New Roman" w:hAnsi="Times New Roman"/>
          <w:sz w:val="18"/>
          <w:szCs w:val="18"/>
          <w:color w:val="auto"/>
        </w:rPr>
      </w:pPr>
    </w:p>
    <w:p>
      <w:pPr>
        <w:ind w:left="1744" w:right="60" w:hanging="543"/>
        <w:spacing w:after="0" w:line="256" w:lineRule="auto"/>
        <w:tabs>
          <w:tab w:leader="none" w:pos="1744"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from the date of such act or transaction the Company shall establish and thereafter (subject as provided in this Article) maintain in accordance with the provisions of this Article a reserve (the “</w:t>
      </w:r>
      <w:r>
        <w:rPr>
          <w:rFonts w:ascii="Times New Roman" w:cs="Times New Roman" w:eastAsia="Times New Roman" w:hAnsi="Times New Roman"/>
          <w:sz w:val="18"/>
          <w:szCs w:val="18"/>
          <w:b w:val="1"/>
          <w:bCs w:val="1"/>
          <w:color w:val="auto"/>
        </w:rPr>
        <w:t>Subscription Rights Reserve</w:t>
      </w:r>
      <w:r>
        <w:rPr>
          <w:rFonts w:ascii="Times New Roman" w:cs="Times New Roman" w:eastAsia="Times New Roman" w:hAnsi="Times New Roman"/>
          <w:sz w:val="18"/>
          <w:szCs w:val="18"/>
          <w:color w:val="auto"/>
        </w:rPr>
        <w:t>”) the amount of which shall at no time be less than the sum which for the time being would be required to be capitalised and applied in paying up in full the nominal amount of the additional shares required to be issued and allotted credited as fully paid pursuant to sub-paragraph (c) below on the exercise in full of all the subscription rights outstanding and shall apply the Subscription Rights Reserve in paying up such additional shares in full as and when the same are allotted;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4"/>
          </w:cols>
          <w:pgMar w:left="436" w:top="270" w:right="479" w:bottom="1440" w:gutter="0" w:footer="0" w:header="0"/>
        </w:sectPr>
      </w:pPr>
    </w:p>
    <w:bookmarkStart w:id="71" w:name="page72"/>
    <w:bookmarkEnd w:id="71"/>
    <w:p>
      <w:pPr>
        <w:ind w:left="740" w:right="40" w:hanging="543"/>
        <w:spacing w:after="0" w:line="266" w:lineRule="auto"/>
        <w:tabs>
          <w:tab w:leader="none" w:pos="7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Subscription Rights Reserve shall not be used for any purpose other than that specified above unless all other reserves of the Company (other than share premium account) have been extinguished and will then only be used to make good losses of the Company if and so far as is required by law;</w:t>
      </w:r>
    </w:p>
    <w:p>
      <w:pPr>
        <w:spacing w:after="0" w:line="81" w:lineRule="exact"/>
        <w:rPr>
          <w:rFonts w:ascii="Times New Roman" w:cs="Times New Roman" w:eastAsia="Times New Roman" w:hAnsi="Times New Roman"/>
          <w:sz w:val="18"/>
          <w:szCs w:val="18"/>
          <w:color w:val="auto"/>
        </w:rPr>
      </w:pPr>
    </w:p>
    <w:p>
      <w:pPr>
        <w:ind w:left="740" w:right="60" w:hanging="543"/>
        <w:spacing w:after="0" w:line="277" w:lineRule="auto"/>
        <w:tabs>
          <w:tab w:leader="none" w:pos="7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warrantholder, credited as fully paid, such additional nominal amount of shares as is equal to the difference between:</w:t>
      </w:r>
    </w:p>
    <w:p>
      <w:pPr>
        <w:spacing w:after="0" w:line="73" w:lineRule="exact"/>
        <w:rPr>
          <w:rFonts w:ascii="Times New Roman" w:cs="Times New Roman" w:eastAsia="Times New Roman" w:hAnsi="Times New Roman"/>
          <w:sz w:val="17"/>
          <w:szCs w:val="17"/>
          <w:color w:val="auto"/>
        </w:rPr>
      </w:pPr>
    </w:p>
    <w:p>
      <w:pPr>
        <w:ind w:left="1400" w:right="500" w:hanging="649"/>
        <w:spacing w:after="0" w:line="266" w:lineRule="auto"/>
        <w:tabs>
          <w:tab w:leader="none" w:pos="14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said amount in cash which the holder of such warrant is required to pay on exercise of the subscription rights represented thereby (or, as the case may be, the relevant portion thereof in the event of a partial exercise of the subscription rights); and</w:t>
      </w:r>
    </w:p>
    <w:p>
      <w:pPr>
        <w:spacing w:after="0" w:line="81" w:lineRule="exact"/>
        <w:rPr>
          <w:rFonts w:ascii="Times New Roman" w:cs="Times New Roman" w:eastAsia="Times New Roman" w:hAnsi="Times New Roman"/>
          <w:sz w:val="18"/>
          <w:szCs w:val="18"/>
          <w:color w:val="auto"/>
        </w:rPr>
      </w:pPr>
    </w:p>
    <w:p>
      <w:pPr>
        <w:ind w:left="1400" w:hanging="649"/>
        <w:spacing w:after="0" w:line="256" w:lineRule="auto"/>
        <w:tabs>
          <w:tab w:leader="none" w:pos="14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nominal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Rights Reserve as is required to pay up in full such additional nominal amount of shares shall be capitalised and applied in paying up in full such additional nominal amount of shares which shall forthwith be allotted credited as fully paid to the exercising warrantholders; and</w:t>
      </w:r>
    </w:p>
    <w:p>
      <w:pPr>
        <w:spacing w:after="0" w:line="92" w:lineRule="exact"/>
        <w:rPr>
          <w:rFonts w:ascii="Times New Roman" w:cs="Times New Roman" w:eastAsia="Times New Roman" w:hAnsi="Times New Roman"/>
          <w:sz w:val="18"/>
          <w:szCs w:val="18"/>
          <w:color w:val="auto"/>
        </w:rPr>
      </w:pPr>
    </w:p>
    <w:p>
      <w:pPr>
        <w:ind w:left="740" w:hanging="543"/>
        <w:spacing w:after="0" w:line="253" w:lineRule="auto"/>
        <w:tabs>
          <w:tab w:leader="none" w:pos="7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exercise of the subscription rights represented by any warrant, the amount standing to the credit of the Subscription Rights Reserve is not sufficient to pay up in full such additional nominal amount of shares equal to such difference as aforesaid to which the exercising warrantholder is entitled, the Board shall apply any profits or reserves then or thereafter becoming available (including, to the extent permitted by law, share premium account) for such purpose until such additional nominal amount of shares is paid up and allotted as aforesaid and until then no dividend or other distribution shall be paid or made on the fully paid shares of the Company then in issue. Pending such payment and allotment, the exercising warrantholder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warrantholder upon the issue of such certificate.</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000"/>
          </w:cols>
          <w:pgMar w:left="1440" w:top="270" w:right="459" w:bottom="1440" w:gutter="0" w:footer="0" w:header="0"/>
        </w:sectPr>
      </w:pPr>
    </w:p>
    <w:bookmarkStart w:id="72" w:name="page73"/>
    <w:bookmarkEnd w:id="72"/>
    <w:p>
      <w:pPr>
        <w:jc w:val="both"/>
        <w:ind w:left="1184" w:right="20" w:hanging="644"/>
        <w:spacing w:after="0" w:line="266" w:lineRule="auto"/>
        <w:tabs>
          <w:tab w:leader="none" w:pos="1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allotted pursuant to the provisions of this Article shall rank pari passu in all respects with the other shares allotted on the relevant exercise of the subscription rights represented by the warrant concerned. Notwithstanding anything contained in this Article, no fraction of any share shall be allotted on exercise of the subscription rights.</w:t>
      </w:r>
    </w:p>
    <w:p>
      <w:pPr>
        <w:spacing w:after="0" w:line="81"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this Article as to the establishment and maintenance of the Subscription Rights Reserve shall not be altered or added to in any way which would vary or abrogate, or which would have the effect of varying or abrogating the provisions for the benefit of any warrantholder or class of warrantholders under this Article without the sanction of a special resolution of such warrantholders or class of warrantholders.</w:t>
      </w:r>
    </w:p>
    <w:p>
      <w:pPr>
        <w:spacing w:after="0" w:line="85" w:lineRule="exact"/>
        <w:rPr>
          <w:rFonts w:ascii="Times New Roman" w:cs="Times New Roman" w:eastAsia="Times New Roman" w:hAnsi="Times New Roman"/>
          <w:sz w:val="18"/>
          <w:szCs w:val="18"/>
          <w:color w:val="auto"/>
        </w:rPr>
      </w:pPr>
    </w:p>
    <w:p>
      <w:pPr>
        <w:ind w:left="1184" w:right="160" w:hanging="644"/>
        <w:spacing w:after="0" w:line="256" w:lineRule="auto"/>
        <w:tabs>
          <w:tab w:leader="none" w:pos="1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or report by the auditors for the time being of the Company as to whether or not the Subscription Rights Reserve is required to be established and maintained and if so the amount thereof so required to be established and maintained, as to the purposes for which the Subscription Rights Reserve has been used, as to the extent to which it has been used to make good losses of the Company, as to the additional nominal amount of shares required to be allotted to exercising warrantholders credited as fully paid, and as to any other matter concerning the Subscription Rights Reserve shall (in the absence of manifest error) be conclusive and binding upon the Company and all warrantholders and shareholders.</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ACCOUNTING RECORDS</w:t>
      </w:r>
    </w:p>
    <w:p>
      <w:pPr>
        <w:spacing w:after="0" w:line="256" w:lineRule="exact"/>
        <w:rPr>
          <w:sz w:val="20"/>
          <w:szCs w:val="20"/>
          <w:color w:val="auto"/>
        </w:rPr>
      </w:pPr>
    </w:p>
    <w:p>
      <w:pPr>
        <w:jc w:val="both"/>
        <w:ind w:left="544" w:hanging="544"/>
        <w:spacing w:after="0" w:line="266" w:lineRule="auto"/>
        <w:tabs>
          <w:tab w:leader="none" w:pos="5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true accounts to be kept of the sums of money received and expended by the Company, and the matters in respect of which such receipt and expenditure take place, and of the property, assets, credits and liabilities of the Company and of all other matters required by the Act or necessary to give a true and fair view of the Company’s affairs and to explain its transactions.</w:t>
      </w:r>
    </w:p>
    <w:p>
      <w:pPr>
        <w:spacing w:after="0" w:line="81" w:lineRule="exact"/>
        <w:rPr>
          <w:rFonts w:ascii="Times New Roman" w:cs="Times New Roman" w:eastAsia="Times New Roman" w:hAnsi="Times New Roman"/>
          <w:sz w:val="18"/>
          <w:szCs w:val="18"/>
          <w:color w:val="auto"/>
        </w:rPr>
      </w:pPr>
    </w:p>
    <w:p>
      <w:pPr>
        <w:ind w:left="544" w:right="20" w:hanging="544"/>
        <w:spacing w:after="0" w:line="266" w:lineRule="auto"/>
        <w:tabs>
          <w:tab w:leader="none" w:pos="5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records shall be kept at the Office or, at such other place or places as the Board decides and shall always be open to inspection by the Directors. No Member (other than a Director) shall have any right of inspecting any accounting record or book or document of the Company except as conferred by law or authorised by the Board or the Company in general meeting.</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AUDIT</w:t>
      </w:r>
    </w:p>
    <w:p>
      <w:pPr>
        <w:spacing w:after="0" w:line="256" w:lineRule="exact"/>
        <w:rPr>
          <w:sz w:val="20"/>
          <w:szCs w:val="20"/>
          <w:color w:val="auto"/>
        </w:rPr>
      </w:pPr>
    </w:p>
    <w:p>
      <w:pPr>
        <w:ind w:left="544" w:right="120" w:hanging="544"/>
        <w:spacing w:after="0" w:line="261" w:lineRule="auto"/>
        <w:tabs>
          <w:tab w:leader="none" w:pos="5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rules of the Designated Stock Exchange, as applicable to the Company, the Directors shall have the power to appoint an auditor to audit the accounts of the Company and remove such auditor at any time at the Directors’ discretion. Such auditor may be a Member but no Director or officer or employee of the Company shall, during his continuance in office, be eligible to act as an auditor of the Company.</w:t>
      </w:r>
    </w:p>
    <w:p>
      <w:pPr>
        <w:spacing w:after="0" w:line="85" w:lineRule="exact"/>
        <w:rPr>
          <w:rFonts w:ascii="Times New Roman" w:cs="Times New Roman" w:eastAsia="Times New Roman" w:hAnsi="Times New Roman"/>
          <w:sz w:val="18"/>
          <w:szCs w:val="18"/>
          <w:color w:val="auto"/>
        </w:rPr>
      </w:pPr>
    </w:p>
    <w:p>
      <w:pPr>
        <w:ind w:left="544" w:right="160" w:hanging="544"/>
        <w:spacing w:after="0" w:line="266" w:lineRule="auto"/>
        <w:tabs>
          <w:tab w:leader="none" w:pos="5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rules of the Designated Stock Exchange, as applicable to the Company, the Members may, at any general meeting convened and held in accordance with these Articles, by ordinary resolution remove the Auditor at any time before the expiration of his term of office and shall by ordinary resolution at that meeting appoint another Auditor in his stead for the remainder of his term.</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4"/>
          </w:cols>
          <w:pgMar w:left="436" w:top="270" w:right="439" w:bottom="1440" w:gutter="0" w:footer="0" w:header="0"/>
        </w:sectPr>
      </w:pPr>
    </w:p>
    <w:bookmarkStart w:id="73" w:name="page74"/>
    <w:bookmarkEnd w:id="73"/>
    <w:p>
      <w:pPr>
        <w:ind w:left="544" w:hanging="544"/>
        <w:spacing w:after="0"/>
        <w:tabs>
          <w:tab w:leader="none" w:pos="5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remuneration of the Auditor shall be fixed by the Directors.</w:t>
      </w:r>
    </w:p>
    <w:p>
      <w:pPr>
        <w:spacing w:after="0" w:line="130" w:lineRule="exact"/>
        <w:rPr>
          <w:rFonts w:ascii="Times New Roman" w:cs="Times New Roman" w:eastAsia="Times New Roman" w:hAnsi="Times New Roman"/>
          <w:sz w:val="18"/>
          <w:szCs w:val="18"/>
          <w:color w:val="auto"/>
        </w:rPr>
      </w:pPr>
    </w:p>
    <w:p>
      <w:pPr>
        <w:ind w:left="544" w:right="140" w:hanging="544"/>
        <w:spacing w:after="0" w:line="282" w:lineRule="auto"/>
        <w:tabs>
          <w:tab w:leader="none" w:pos="5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office of auditor becomes vacant by the resignation or death of the Auditor, or by his becoming incapable of acting by reason of illness or other disability at a time when his services are required, the Directors shall fill the vacancy by appointing another auditor.</w:t>
      </w:r>
    </w:p>
    <w:p>
      <w:pPr>
        <w:spacing w:after="0" w:line="67" w:lineRule="exact"/>
        <w:rPr>
          <w:rFonts w:ascii="Times New Roman" w:cs="Times New Roman" w:eastAsia="Times New Roman" w:hAnsi="Times New Roman"/>
          <w:sz w:val="18"/>
          <w:szCs w:val="18"/>
          <w:color w:val="auto"/>
        </w:rPr>
      </w:pPr>
    </w:p>
    <w:p>
      <w:pPr>
        <w:ind w:left="544" w:right="80" w:hanging="544"/>
        <w:spacing w:after="0" w:line="282" w:lineRule="auto"/>
        <w:tabs>
          <w:tab w:leader="none" w:pos="5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 shall at all reasonable times have access to all books kept by the Company and to all accounts and vouchers relating thereto; and he may call on the Directors or officers of the Company for any information in their possession relating to the books or affairs of the Company.</w:t>
      </w:r>
    </w:p>
    <w:p>
      <w:pPr>
        <w:spacing w:after="0" w:line="67"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shall be audited by the Auditor in accordance with generally accepted auditing standards. The generally accepted auditing standards referred to herein may be those of a country or jurisdiction other than the Cayman Islands.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56" w:lineRule="exact"/>
        <w:rPr>
          <w:sz w:val="20"/>
          <w:szCs w:val="20"/>
          <w:color w:val="auto"/>
        </w:rPr>
      </w:pPr>
    </w:p>
    <w:p>
      <w:pPr>
        <w:ind w:left="544" w:hanging="544"/>
        <w:spacing w:after="0" w:line="253" w:lineRule="auto"/>
        <w:tabs>
          <w:tab w:leader="none" w:pos="5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whether or not, to be given or issued under these Articles from the Company to a Member shall be in writing or by cable, telex or facsimile transmission message or other form of Electronic transmission or communication and any such Notice and document may be served or delivered by the Company on or to any Member either personally or by sending it through the post in a prepaid envelope addressed to such Member at his registered address as appearing in the Register or at any other address supplied by him to the Company for the purpose or, as the case may be, by transmitting it to any such address or transmitting it to any telex or facsimile transmission number or Electronic number or address or website supplied by him to the Company for the giving of Notice to him or which the person transmitting the notice reasonably and bona fide believes at the relevant time will result in the Notice being duly received by the Member or may also be served by advertisement in appropriate newspapers in accordance with the requirements of the Designated Stock Exchange, as applicable to the Company, or, to the extent permitted by the applicable laws, by placing it on the Company’s website and giving to the member a notice stating that the notice or other document is available there (a “</w:t>
      </w:r>
      <w:r>
        <w:rPr>
          <w:rFonts w:ascii="Times New Roman" w:cs="Times New Roman" w:eastAsia="Times New Roman" w:hAnsi="Times New Roman"/>
          <w:sz w:val="18"/>
          <w:szCs w:val="18"/>
          <w:b w:val="1"/>
          <w:bCs w:val="1"/>
          <w:color w:val="auto"/>
        </w:rPr>
        <w:t>notice of availability</w:t>
      </w:r>
      <w:r>
        <w:rPr>
          <w:rFonts w:ascii="Times New Roman" w:cs="Times New Roman" w:eastAsia="Times New Roman" w:hAnsi="Times New Roman"/>
          <w:sz w:val="18"/>
          <w:szCs w:val="18"/>
          <w:color w:val="auto"/>
        </w:rPr>
        <w:t>”). The notice of availability may be given to the Member by any of the means set out above. In the case of joint holders of a share all notices shall be given to that one of the joint holders whose name stands first in the Register and notice so given shall be deemed a sufficient service on or delivery to all the joint holders.</w:t>
      </w:r>
    </w:p>
    <w:p>
      <w:pPr>
        <w:spacing w:after="0" w:line="9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w:t>
      </w:r>
    </w:p>
    <w:p>
      <w:pPr>
        <w:spacing w:after="0" w:line="130" w:lineRule="exact"/>
        <w:rPr>
          <w:rFonts w:ascii="Times New Roman" w:cs="Times New Roman" w:eastAsia="Times New Roman" w:hAnsi="Times New Roman"/>
          <w:sz w:val="18"/>
          <w:szCs w:val="18"/>
          <w:color w:val="auto"/>
        </w:rPr>
      </w:pPr>
    </w:p>
    <w:p>
      <w:pPr>
        <w:ind w:left="1184" w:right="40" w:hanging="644"/>
        <w:spacing w:after="0" w:line="256" w:lineRule="auto"/>
        <w:tabs>
          <w:tab w:leader="none" w:pos="118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served or delivered by post, shall where appropriate be sent by airmail and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74" w:name="page75"/>
    <w:bookmarkEnd w:id="74"/>
    <w:p>
      <w:pPr>
        <w:ind w:left="1184" w:right="80" w:hanging="644"/>
        <w:spacing w:after="0" w:line="266" w:lineRule="auto"/>
        <w:tabs>
          <w:tab w:leader="none" w:pos="118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sent by Electronic communication, shall be deemed to be given on the day on which it is transmitted from the server of the Company or its agent. A notice placed on the Company’s website is deemed given by the Company to a Member on the day following that on which a notice of availability is deemed served on the Member;</w:t>
      </w:r>
    </w:p>
    <w:p>
      <w:pPr>
        <w:spacing w:after="0" w:line="81" w:lineRule="exact"/>
        <w:rPr>
          <w:rFonts w:ascii="Times New Roman" w:cs="Times New Roman" w:eastAsia="Times New Roman" w:hAnsi="Times New Roman"/>
          <w:sz w:val="18"/>
          <w:szCs w:val="18"/>
          <w:color w:val="auto"/>
        </w:rPr>
      </w:pPr>
    </w:p>
    <w:p>
      <w:pPr>
        <w:ind w:left="1184" w:right="80" w:hanging="644"/>
        <w:spacing w:after="0" w:line="261" w:lineRule="auto"/>
        <w:tabs>
          <w:tab w:leader="none" w:pos="118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served or delivered in any other manner contemplated by these Articles, shall be deemed to have been served or delivered at the time of personal service or delivery or, as the case may be, at the time of the relevant despatch or transmission; and in proving such service or delivery a certificate in writing signed by the Secretary or other officer of the Company or other person appointed by the Board as to the act and time of such service, delivery, despatch or transmission shall be conclusive evidence thereof; and</w:t>
      </w:r>
    </w:p>
    <w:p>
      <w:pPr>
        <w:spacing w:after="0" w:line="85" w:lineRule="exact"/>
        <w:rPr>
          <w:rFonts w:ascii="Times New Roman" w:cs="Times New Roman" w:eastAsia="Times New Roman" w:hAnsi="Times New Roman"/>
          <w:sz w:val="18"/>
          <w:szCs w:val="18"/>
          <w:color w:val="auto"/>
        </w:rPr>
      </w:pPr>
    </w:p>
    <w:p>
      <w:pPr>
        <w:ind w:left="1184" w:right="700" w:hanging="644"/>
        <w:spacing w:after="0" w:line="282" w:lineRule="auto"/>
        <w:tabs>
          <w:tab w:leader="none" w:pos="118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given to a Member in the English language or such other language as may be approved by the Directors, subject to due compliance with all applicable Statutes, rules and regulations.</w:t>
      </w:r>
    </w:p>
    <w:p>
      <w:pPr>
        <w:spacing w:after="0" w:line="67" w:lineRule="exact"/>
        <w:rPr>
          <w:sz w:val="20"/>
          <w:szCs w:val="20"/>
          <w:color w:val="auto"/>
        </w:rPr>
      </w:pPr>
    </w:p>
    <w:p>
      <w:pPr>
        <w:ind w:left="1204" w:hanging="1200"/>
        <w:spacing w:after="0" w:line="255" w:lineRule="auto"/>
        <w:tabs>
          <w:tab w:leader="none" w:pos="1184" w:val="left"/>
        </w:tabs>
        <w:rPr>
          <w:sz w:val="20"/>
          <w:szCs w:val="20"/>
          <w:color w:val="auto"/>
        </w:rPr>
      </w:pPr>
      <w:r>
        <w:rPr>
          <w:rFonts w:ascii="Times New Roman" w:cs="Times New Roman" w:eastAsia="Times New Roman" w:hAnsi="Times New Roman"/>
          <w:sz w:val="18"/>
          <w:szCs w:val="18"/>
          <w:color w:val="auto"/>
        </w:rPr>
        <w:t>156.     (1)</w:t>
      </w:r>
      <w:r>
        <w:rPr>
          <w:sz w:val="20"/>
          <w:szCs w:val="20"/>
          <w:color w:val="auto"/>
        </w:rPr>
        <w:tab/>
      </w:r>
      <w:r>
        <w:rPr>
          <w:rFonts w:ascii="Times New Roman" w:cs="Times New Roman" w:eastAsia="Times New Roman" w:hAnsi="Times New Roman"/>
          <w:sz w:val="18"/>
          <w:szCs w:val="18"/>
          <w:color w:val="auto"/>
        </w:rPr>
        <w:t>Any Notice or other document delivered or sent by post to or left at the registered address of any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 sufficient service or delivery of such Notice or document on all persons interested (whether jointly with or as claiming through or under him) in the share.</w:t>
      </w:r>
    </w:p>
    <w:p>
      <w:pPr>
        <w:spacing w:after="0" w:line="94" w:lineRule="exact"/>
        <w:rPr>
          <w:sz w:val="20"/>
          <w:szCs w:val="20"/>
          <w:color w:val="auto"/>
        </w:rPr>
      </w:pPr>
    </w:p>
    <w:p>
      <w:pPr>
        <w:ind w:left="1184" w:right="40" w:hanging="644"/>
        <w:spacing w:after="0" w:line="258" w:lineRule="auto"/>
        <w:tabs>
          <w:tab w:leader="none" w:pos="118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may be given by the Company to the person entitled to a share in consequence of the death, mental disorder or bankruptcy of a Member by sending it through the post in a prepaid letter, envelope or wrapper addressed to him by name, or by the title of representative of the deceased, or trustee of the bankrupt, or by any like description, at the address, if any, supplied for the purpose by the person claiming to be so entitled, or (until such an address has been so supplied) by giving the notice in any manner in which the same might have been given if the death, mental disorder or bankruptcy had not occurred.</w:t>
      </w:r>
    </w:p>
    <w:p>
      <w:pPr>
        <w:spacing w:after="0" w:line="88" w:lineRule="exact"/>
        <w:rPr>
          <w:rFonts w:ascii="Times New Roman" w:cs="Times New Roman" w:eastAsia="Times New Roman" w:hAnsi="Times New Roman"/>
          <w:sz w:val="18"/>
          <w:szCs w:val="18"/>
          <w:color w:val="auto"/>
        </w:rPr>
      </w:pPr>
    </w:p>
    <w:p>
      <w:pPr>
        <w:ind w:left="1184" w:right="320" w:hanging="644"/>
        <w:spacing w:after="0" w:line="266" w:lineRule="auto"/>
        <w:tabs>
          <w:tab w:leader="none" w:pos="118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by operation of law, transfer or other means whatsoever shall become entitled to any share shall be bound by every notice in respect of such share which prior to his name and address being entered on the Register shall have been duly given to the person from whom he derives his title to such share.</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left="544" w:hanging="544"/>
        <w:spacing w:after="0" w:line="258" w:lineRule="auto"/>
        <w:tabs>
          <w:tab w:leader="none" w:pos="5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these Articles, a cable or telex or facsimile or Electronic transmission message purporting to come from a holder of shares or, as the case may be, a Director, or, in the case of a corporation which is a holder of shares from a director or the secretary thereof or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in the terms in which it is received.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WINDING UP</w:t>
      </w:r>
    </w:p>
    <w:p>
      <w:pPr>
        <w:spacing w:after="0" w:line="256" w:lineRule="exact"/>
        <w:rPr>
          <w:sz w:val="20"/>
          <w:szCs w:val="20"/>
          <w:color w:val="auto"/>
        </w:rPr>
      </w:pPr>
    </w:p>
    <w:p>
      <w:pPr>
        <w:ind w:left="1180" w:right="100" w:hanging="1200"/>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158.     (1)</w:t>
      </w:r>
      <w:r>
        <w:rPr>
          <w:sz w:val="20"/>
          <w:szCs w:val="20"/>
          <w:color w:val="auto"/>
        </w:rPr>
        <w:tab/>
      </w:r>
      <w:r>
        <w:rPr>
          <w:rFonts w:ascii="Times New Roman" w:cs="Times New Roman" w:eastAsia="Times New Roman" w:hAnsi="Times New Roman"/>
          <w:sz w:val="18"/>
          <w:szCs w:val="18"/>
          <w:color w:val="auto"/>
        </w:rPr>
        <w:t>The Board shall have power in the name and on behalf of the Company to present a petition to the court for the Company to be wound up.</w:t>
      </w:r>
    </w:p>
    <w:p>
      <w:pPr>
        <w:spacing w:after="0" w:line="67" w:lineRule="exact"/>
        <w:rPr>
          <w:sz w:val="20"/>
          <w:szCs w:val="20"/>
          <w:color w:val="auto"/>
        </w:rPr>
      </w:pPr>
    </w:p>
    <w:p>
      <w:pPr>
        <w:ind w:left="1160" w:hanging="644"/>
        <w:spacing w:after="0"/>
        <w:tabs>
          <w:tab w:leader="none" w:pos="11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that the Company be wound up by the court or be wound up voluntarily shall be a special resolution.</w:t>
      </w:r>
    </w:p>
    <w:p>
      <w:pPr>
        <w:spacing w:after="0" w:line="131" w:lineRule="exact"/>
        <w:rPr>
          <w:sz w:val="20"/>
          <w:szCs w:val="20"/>
          <w:color w:val="auto"/>
        </w:rPr>
      </w:pPr>
    </w:p>
    <w:p>
      <w:pPr>
        <w:ind w:left="1180" w:right="100" w:hanging="1200"/>
        <w:spacing w:after="0" w:line="270" w:lineRule="auto"/>
        <w:tabs>
          <w:tab w:leader="none" w:pos="1160" w:val="left"/>
        </w:tabs>
        <w:rPr>
          <w:sz w:val="20"/>
          <w:szCs w:val="20"/>
          <w:color w:val="auto"/>
        </w:rPr>
      </w:pPr>
      <w:r>
        <w:rPr>
          <w:rFonts w:ascii="Times New Roman" w:cs="Times New Roman" w:eastAsia="Times New Roman" w:hAnsi="Times New Roman"/>
          <w:sz w:val="18"/>
          <w:szCs w:val="18"/>
          <w:color w:val="auto"/>
        </w:rPr>
        <w:t>159.     (1)</w:t>
      </w:r>
      <w:r>
        <w:rPr>
          <w:sz w:val="20"/>
          <w:szCs w:val="20"/>
          <w:color w:val="auto"/>
        </w:rPr>
        <w:tab/>
      </w:r>
      <w:r>
        <w:rPr>
          <w:rFonts w:ascii="Times New Roman" w:cs="Times New Roman" w:eastAsia="Times New Roman" w:hAnsi="Times New Roman"/>
          <w:sz w:val="17"/>
          <w:szCs w:val="17"/>
          <w:color w:val="auto"/>
        </w:rPr>
        <w:t>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shall be more than sufficient to repay the whole of the capital paid up at the commencement of the winding up, the excess shall be distributed pari passu amongst such members in proportion to the amount paid up on the shares held by them respectively and</w:t>
      </w:r>
    </w:p>
    <w:p>
      <w:pPr>
        <w:spacing w:after="0" w:line="3" w:lineRule="exact"/>
        <w:rPr>
          <w:sz w:val="20"/>
          <w:szCs w:val="20"/>
          <w:color w:val="auto"/>
        </w:rPr>
      </w:pPr>
    </w:p>
    <w:p>
      <w:pPr>
        <w:ind w:left="1180" w:right="320" w:hanging="3"/>
        <w:spacing w:after="0" w:line="253" w:lineRule="auto"/>
        <w:tabs>
          <w:tab w:leader="none" w:pos="144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as such shall be insufficient to repay the whole of the paid-up capital such assets shall be distributed so that, a nearly as may be, the losses shall be borne by the Members in proportion to the capital paid up, or which ought to have been paid up, at the commencement of the winding up on the shares held by them respectively.</w:t>
      </w:r>
    </w:p>
    <w:p>
      <w:pPr>
        <w:spacing w:after="0" w:line="94" w:lineRule="exact"/>
        <w:rPr>
          <w:rFonts w:ascii="Times New Roman" w:cs="Times New Roman" w:eastAsia="Times New Roman" w:hAnsi="Times New Roman"/>
          <w:sz w:val="18"/>
          <w:szCs w:val="18"/>
          <w:color w:val="auto"/>
        </w:rPr>
      </w:pPr>
    </w:p>
    <w:p>
      <w:pPr>
        <w:ind w:left="1160" w:hanging="644"/>
        <w:spacing w:after="0" w:line="254" w:lineRule="auto"/>
        <w:tabs>
          <w:tab w:leader="none" w:pos="1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(whether the liquidation is voluntary or by the court) the liquidator may, with the authority of a special resolution and any other sanction required by the Act,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60"/>
          </w:cols>
          <w:pgMar w:left="460" w:top="266" w:right="4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INDEMNITY</w:t>
      </w:r>
    </w:p>
    <w:p>
      <w:pPr>
        <w:spacing w:after="0" w:line="256" w:lineRule="exact"/>
        <w:rPr>
          <w:sz w:val="20"/>
          <w:szCs w:val="20"/>
          <w:color w:val="auto"/>
        </w:rPr>
      </w:pPr>
    </w:p>
    <w:p>
      <w:pPr>
        <w:ind w:left="1180" w:right="80" w:hanging="1200"/>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160.      (1)</w:t>
      </w:r>
      <w:r>
        <w:rPr>
          <w:sz w:val="20"/>
          <w:szCs w:val="20"/>
          <w:color w:val="auto"/>
        </w:rPr>
        <w:tab/>
      </w:r>
      <w:r>
        <w:rPr>
          <w:rFonts w:ascii="Times New Roman" w:cs="Times New Roman" w:eastAsia="Times New Roman" w:hAnsi="Times New Roman"/>
          <w:sz w:val="18"/>
          <w:szCs w:val="18"/>
          <w:color w:val="auto"/>
        </w:rPr>
        <w:t>The Company may by deed or agreement, to the extent permitted by law, indemnify or agree to indemnify the Directors, Secretary, and other officers and employees for the time being of the Company out of the property of the Company:</w:t>
      </w:r>
    </w:p>
    <w:p>
      <w:pPr>
        <w:spacing w:after="0" w:line="67" w:lineRule="exact"/>
        <w:rPr>
          <w:sz w:val="20"/>
          <w:szCs w:val="20"/>
          <w:color w:val="auto"/>
        </w:rPr>
      </w:pPr>
    </w:p>
    <w:p>
      <w:pPr>
        <w:ind w:left="1720" w:hanging="543"/>
        <w:spacing w:after="0"/>
        <w:tabs>
          <w:tab w:leader="none" w:pos="1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incurred by the person in that capacity (except a liability for legal costs);</w:t>
      </w:r>
    </w:p>
    <w:p>
      <w:pPr>
        <w:spacing w:after="0" w:line="130" w:lineRule="exact"/>
        <w:rPr>
          <w:rFonts w:ascii="Times New Roman" w:cs="Times New Roman" w:eastAsia="Times New Roman" w:hAnsi="Times New Roman"/>
          <w:sz w:val="18"/>
          <w:szCs w:val="18"/>
          <w:color w:val="auto"/>
        </w:rPr>
      </w:pPr>
    </w:p>
    <w:p>
      <w:pPr>
        <w:ind w:left="1720" w:right="220" w:hanging="543"/>
        <w:spacing w:after="0" w:line="282" w:lineRule="auto"/>
        <w:tabs>
          <w:tab w:leader="none" w:pos="1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costs incurred in defending or resisting (or otherwise in connection with) proceedings, whether civil or criminal or of an administrative or investigatory nature, in which the person becomes involved because of that capacity; and</w:t>
      </w:r>
    </w:p>
    <w:p>
      <w:pPr>
        <w:spacing w:after="0" w:line="67" w:lineRule="exact"/>
        <w:rPr>
          <w:rFonts w:ascii="Times New Roman" w:cs="Times New Roman" w:eastAsia="Times New Roman" w:hAnsi="Times New Roman"/>
          <w:sz w:val="18"/>
          <w:szCs w:val="18"/>
          <w:color w:val="auto"/>
        </w:rPr>
      </w:pPr>
    </w:p>
    <w:p>
      <w:pPr>
        <w:ind w:left="1720" w:right="40" w:hanging="543"/>
        <w:spacing w:after="0" w:line="282" w:lineRule="auto"/>
        <w:tabs>
          <w:tab w:leader="none" w:pos="1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costs incurred in good faith in obtaining legal advice on issues relevant to the performance of their functions and discharge of their duties as an officer or employee of the Company or a subsidiary,</w:t>
      </w:r>
    </w:p>
    <w:p>
      <w:pPr>
        <w:spacing w:after="0" w:line="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except to the extent that:</w:t>
      </w:r>
    </w:p>
    <w:p>
      <w:pPr>
        <w:spacing w:after="0" w:line="131" w:lineRule="exact"/>
        <w:rPr>
          <w:sz w:val="20"/>
          <w:szCs w:val="20"/>
          <w:color w:val="auto"/>
        </w:rPr>
      </w:pPr>
    </w:p>
    <w:p>
      <w:pPr>
        <w:ind w:left="1720" w:hanging="543"/>
        <w:spacing w:after="0"/>
        <w:tabs>
          <w:tab w:leader="none" w:pos="17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forbidden by applicable law to indemnify the person against the liability or legal costs; or</w:t>
      </w:r>
    </w:p>
    <w:p>
      <w:pPr>
        <w:spacing w:after="0" w:line="130" w:lineRule="exact"/>
        <w:rPr>
          <w:rFonts w:ascii="Times New Roman" w:cs="Times New Roman" w:eastAsia="Times New Roman" w:hAnsi="Times New Roman"/>
          <w:sz w:val="18"/>
          <w:szCs w:val="18"/>
          <w:color w:val="auto"/>
        </w:rPr>
      </w:pPr>
    </w:p>
    <w:p>
      <w:pPr>
        <w:ind w:left="1720" w:hanging="543"/>
        <w:spacing w:after="0"/>
        <w:tabs>
          <w:tab w:leader="none" w:pos="17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indemnity by the Company of the person against the liability or legal costs, if given, would be made void by law.</w:t>
      </w:r>
    </w:p>
    <w:p>
      <w:pPr>
        <w:spacing w:after="0" w:line="130" w:lineRule="exact"/>
        <w:rPr>
          <w:rFonts w:ascii="Times New Roman" w:cs="Times New Roman" w:eastAsia="Times New Roman" w:hAnsi="Times New Roman"/>
          <w:sz w:val="18"/>
          <w:szCs w:val="18"/>
          <w:color w:val="auto"/>
        </w:rPr>
      </w:pPr>
    </w:p>
    <w:p>
      <w:pPr>
        <w:ind w:left="1160" w:hanging="644"/>
        <w:spacing w:after="0" w:line="253" w:lineRule="auto"/>
        <w:tabs>
          <w:tab w:leader="none" w:pos="11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liquidator or trustees (if any) for the time being acting in relation to any of the affairs of the Company and everyone of them, and everyone of their heirs, executors and administrators, shall be indemnified and secured harmless out of the assets and profits of the Company from and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and none of them shall be answerable for the acts, receipts, neglects or defaults of the other or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said persons.</w:t>
      </w:r>
    </w:p>
    <w:p>
      <w:pPr>
        <w:spacing w:after="0" w:line="97" w:lineRule="exact"/>
        <w:rPr>
          <w:rFonts w:ascii="Times New Roman" w:cs="Times New Roman" w:eastAsia="Times New Roman" w:hAnsi="Times New Roman"/>
          <w:sz w:val="18"/>
          <w:szCs w:val="18"/>
          <w:color w:val="auto"/>
        </w:rPr>
      </w:pPr>
    </w:p>
    <w:p>
      <w:pPr>
        <w:ind w:left="1160" w:right="180" w:hanging="644"/>
        <w:spacing w:after="0" w:line="261" w:lineRule="auto"/>
        <w:tabs>
          <w:tab w:leader="none" w:pos="11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precluded by any law applicable to the Member, 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or dishonesty which may attach to such Director.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60" w:top="266" w:right="459" w:bottom="1440" w:gutter="0" w:footer="0" w:header="0"/>
        </w:sectPr>
      </w:pPr>
    </w:p>
    <w:bookmarkStart w:id="77" w:name="page78"/>
    <w:bookmarkEnd w:id="77"/>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YEAR</w:t>
      </w:r>
    </w:p>
    <w:p>
      <w:pPr>
        <w:spacing w:after="0" w:line="256" w:lineRule="exact"/>
        <w:rPr>
          <w:sz w:val="20"/>
          <w:szCs w:val="20"/>
          <w:color w:val="auto"/>
        </w:rPr>
      </w:pPr>
    </w:p>
    <w:p>
      <w:pPr>
        <w:ind w:left="544" w:right="200" w:hanging="544"/>
        <w:spacing w:after="0" w:line="282" w:lineRule="auto"/>
        <w:tabs>
          <w:tab w:leader="none" w:pos="54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31 December in each year and, following the year of incorporation, shall begin on 1 January each year.</w:t>
      </w:r>
    </w:p>
    <w:p>
      <w:pPr>
        <w:spacing w:after="0" w:line="37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AMENDMENT TO MEMORANDUM AND ARTICLES OF ASSOCIATION AND NAME OF COMPANY</w:t>
      </w:r>
    </w:p>
    <w:p>
      <w:pPr>
        <w:spacing w:after="0" w:line="256" w:lineRule="exact"/>
        <w:rPr>
          <w:sz w:val="20"/>
          <w:szCs w:val="20"/>
          <w:color w:val="auto"/>
        </w:rPr>
      </w:pPr>
    </w:p>
    <w:p>
      <w:pPr>
        <w:ind w:left="544" w:right="100" w:hanging="544"/>
        <w:spacing w:after="0" w:line="266" w:lineRule="auto"/>
        <w:tabs>
          <w:tab w:leader="none" w:pos="54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Article shall be rescinded, altered or amended and no new Article shall be made until the same has been approved by a special resolution of the Members. A special resolution shall be required to alter the provisions of the Memorandum of Association or to change the name of the Company.</w:t>
      </w:r>
    </w:p>
    <w:p>
      <w:pPr>
        <w:spacing w:after="0" w:line="38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56" w:lineRule="exact"/>
        <w:rPr>
          <w:sz w:val="20"/>
          <w:szCs w:val="20"/>
          <w:color w:val="auto"/>
        </w:rPr>
      </w:pPr>
    </w:p>
    <w:p>
      <w:pPr>
        <w:jc w:val="both"/>
        <w:ind w:left="544" w:hanging="544"/>
        <w:spacing w:after="0" w:line="266" w:lineRule="auto"/>
        <w:tabs>
          <w:tab w:leader="none" w:pos="54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to communicate to the public.</w:t>
      </w:r>
    </w:p>
    <w:p>
      <w:pPr>
        <w:spacing w:after="0" w:line="38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DISCONTINUANCE</w:t>
      </w:r>
    </w:p>
    <w:p>
      <w:pPr>
        <w:spacing w:after="0" w:line="256" w:lineRule="exact"/>
        <w:rPr>
          <w:sz w:val="20"/>
          <w:szCs w:val="20"/>
          <w:color w:val="auto"/>
        </w:rPr>
      </w:pPr>
    </w:p>
    <w:p>
      <w:pPr>
        <w:ind w:left="544" w:right="400" w:hanging="544"/>
        <w:spacing w:after="0" w:line="282" w:lineRule="auto"/>
        <w:tabs>
          <w:tab w:leader="none" w:pos="5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exercise all the powers of the Company to transfer by way of continuation the Company to a named country or jurisdiction outside the Cayman Islands pursuant to the Act.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44"/>
          </w:cols>
          <w:pgMar w:left="436" w:top="266" w:right="5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Biographical Information regarding the Directors Standing for Re-election</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Chi Liu </w:t>
      </w:r>
      <w:r>
        <w:rPr>
          <w:rFonts w:ascii="Times New Roman" w:cs="Times New Roman" w:eastAsia="Times New Roman" w:hAnsi="Times New Roman"/>
          <w:sz w:val="18"/>
          <w:szCs w:val="18"/>
          <w:color w:val="auto"/>
        </w:rPr>
        <w:t>has served as our director, chairman of the board, chief executive officer since August 2025. Mr. Chi Liu has over 20 years of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experience and currently serves as a member of the Board of Directors of Haier Group, as well as Head of the CARTech Automotive Business Division. Since joining Haier Group in 1998, Mr. Liu has held numerous key positions including Product Manager for refrigerators, Regional Manager for the Guizhou Center, General Manager of the Guizhou, Zhengzhou, and Beijing centers, Head of the Central South Regional Division, General Manager of the Engineering Department, and General Manager of both the Business Process Promotion Department and the Energy-Saving Project Division. Mr. Liu graduated from Wuhan Transportation University (now part of Wuhan University of Technology) with a Bachelor’s degree in Equipment Engineering and Management.</w:t>
      </w:r>
    </w:p>
    <w:p>
      <w:pPr>
        <w:spacing w:after="0" w:line="18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Haishan Liang </w:t>
      </w:r>
      <w:r>
        <w:rPr>
          <w:rFonts w:ascii="Times New Roman" w:cs="Times New Roman" w:eastAsia="Times New Roman" w:hAnsi="Times New Roman"/>
          <w:sz w:val="18"/>
          <w:szCs w:val="18"/>
          <w:color w:val="auto"/>
        </w:rPr>
        <w:t>has served as our director since August 2025. Mr. Haishan Liang has over 30 years of leadership and management experience.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serves as Vice Chairman and President of the Board of Directors of Haier Group. Since joining Haier Group in 1988, Mr. Liang has held a number of important positions, including Director of the Enterprise Management Office and Head of Quality at Qingdao Refrigerator Factory, General Manager of Haier Air Conditioner Co., Ltd., and Director of Logistics at Haier Group. Beginning in 2000, he served as Vice President, Senior Vice President, President of the White Goods Group, Executive Vice President, Vice Chairman of the Board of Directors, Rotating President and Executive President of Haier Group. On November 5, 2021, Mr. Liang was appointed as Vice Chairman and President of the Board of Directors of Haier Group. Mr. Liang holds both a Bachelor’s and a Doctorate degree awarded by Xi’an Jiaotong University.</w:t>
      </w:r>
    </w:p>
    <w:p>
      <w:pPr>
        <w:spacing w:after="0" w:line="1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Ms. Cuimei Zhang </w:t>
      </w:r>
      <w:r>
        <w:rPr>
          <w:rFonts w:ascii="Times New Roman" w:cs="Times New Roman" w:eastAsia="Times New Roman" w:hAnsi="Times New Roman"/>
          <w:sz w:val="17"/>
          <w:szCs w:val="17"/>
          <w:color w:val="auto"/>
        </w:rPr>
        <w:t>has served as our director since August 2025. Ms. Cuimei Zhang has over 20 years of experience in compliance, legal risk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and investment and financing. Since joining Haier Group, she has served as General Manager of its Overseas Legal Department, and currently holds the position of Chief Commercial Legal Counsel. She also serves as Chair of Haier Group’s Legal and Compliance Executive Committee and the Intellectual Property Compliance Executive Committee. Ms. Zhang holds a Master’s degree in Economic Law from Xi’an Jiaotong University.</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66" w:right="459" w:bottom="1440" w:gutter="0" w:footer="0" w:header="0"/>
        </w:sectPr>
      </w:pPr>
    </w:p>
    <w:bookmarkStart w:id="79" w:name="page80"/>
    <w:bookmarkEnd w:id="79"/>
    <w:p>
      <w:pPr>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Mr. Shenglei Zhou </w:t>
      </w:r>
      <w:r>
        <w:rPr>
          <w:rFonts w:ascii="Times New Roman" w:cs="Times New Roman" w:eastAsia="Times New Roman" w:hAnsi="Times New Roman"/>
          <w:sz w:val="18"/>
          <w:szCs w:val="18"/>
          <w:color w:val="auto"/>
        </w:rPr>
        <w:t>has served as our director since August 2025. Mr. Shenglei Zhou has more than 20 years of cross-industry management,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and business development experience. Since joining Haier Group in 2005, Mr. Zhou has held various senior positions across the home appliance and smart home sectors, including Regional Sales Representative in Fuzhou, Director of Home Appliance Business at Group Headquarters, and General Manager of provincial branches (Qingdao, Guizhou, Jiangxi), as well as General Manager of the Smart Home Division (Shaohaihui). He holds a Bachelor’s degree in Electrical Engineering from China University of Mining and Technology and an EMBA in Finance from Guanghua School of Management at Peking University.</w:t>
      </w:r>
    </w:p>
    <w:p>
      <w:pPr>
        <w:spacing w:after="0" w:line="182"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Xing Fang </w:t>
      </w:r>
      <w:r>
        <w:rPr>
          <w:rFonts w:ascii="Times New Roman" w:cs="Times New Roman" w:eastAsia="Times New Roman" w:hAnsi="Times New Roman"/>
          <w:sz w:val="18"/>
          <w:szCs w:val="18"/>
          <w:color w:val="auto"/>
        </w:rPr>
        <w:t>has served as our director since August 2025. Mr. Xing Fang boasts nearly 15 years of profound expertise in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with extensive practical experience accumulated in organizational structure design, talent pipeline development, and compensation and incentive system formulation. Since joining Haier Group in 2011, Mr. Fang has held key positions within the Home Appliance Business Division, including HR leadership roles in the Refrigerator R&amp;D Division, Sales Branch Company, and Air Conditioning Business Division. He has achieved significant results in implementing HR strategies, fostering cross-functional team collaboration, and iterating talent management systems. Mr. Fang graduated from Shandong University of Science and Technology with a Bachelor of Science degree.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40"/>
          </w:cols>
          <w:pgMar w:left="440" w:top="268" w:right="5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(NYSE: ATHM and HKEX: 2518)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for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June 23,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adjournment(s) or postponement(s) thereof)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This Form of Proxy is furnished in connection with the solicitation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Autohome Inc., a Cayman Islands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proxies from the holders of the issued ordinary shares with a par value of US$0.0025 each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be exercised at the Annual General Meeting of the Company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at 18th Floor, Tower B, CEC Plaza, 3 Dan Ling Street, Haidian District, Beijing, The People’s Republic of China on June 23, 2026 at 3:00 p.m. (Beijing time), and at any adjournment(s) or postponement(s) thereof, for the purpose set forth in the accompanying Notice of Annual General Meeting (the “</w:t>
      </w:r>
      <w:r>
        <w:rPr>
          <w:rFonts w:ascii="Times New Roman" w:cs="Times New Roman" w:eastAsia="Times New Roman" w:hAnsi="Times New Roman"/>
          <w:sz w:val="18"/>
          <w:szCs w:val="18"/>
          <w:b w:val="1"/>
          <w:bCs w:val="1"/>
          <w:color w:val="auto"/>
        </w:rPr>
        <w:t>Meeting Notice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Only the holders of record of the Shares on the Company’s register of members at the close of business on May 27, 2026 (Hong Kong time)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to attend and to vote at, the Meeting. Each Share is entitled to one vote on all matters. The quorum of the Meeting is one or more shareholders entitled to vote and present in person or by proxy representing not less than ten percent (10%) of the voting rights represented by the issued and outstanding voting Shares in the Company throughout the Meeting.</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Shares represented by all properly executed proxies returned to the Company will be voted at the Meeting as indicated or, if no instruction is given, the proxy will vote the Shares in his/her discretion, unless a reference to the holder of the proxy having such discretion has been deleted and initialed on this Form of Proxy. Where the chairman of the Meeting acts as proxy and is entitled to exercise his/her discretion, he/she is likely to vote the Shares FOR the resolution. As to any other business that may properly come before the Meeting, all properly executed proxies will be voted by the persons named therein in accordance with their discretion. The Company does not presently know of any other business which may come before the Meeting. However, if any other matter properly comes before the Meeting, or any adjournment(s) or postponement(s) thereof, which may properly be acted upon, unless otherwise indicated the proxies solicited hereby will be voted on such matter in accordance with the discretion of the proxy holders named therein. Any person giving a proxy has the right to revoke it at any time before it is exercised by (i) submitting to the Company, at the address set forth below, a duly signed revocation or (ii) voting in person at the Meeting.</w:t>
      </w:r>
    </w:p>
    <w:p>
      <w:pPr>
        <w:spacing w:after="0" w:line="184"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Holders of Shares registered on our branch register of members in Hong Kong must return this proxy by mail or by hand to 17M Floor, Hopewell Centre, 183 Queen’s Road East, Wanchai, Hong Kong as soon as possible so that it is received by the Company no later than 3:00 p.m. (Hong Kong time) on June 21, 2026 to ensure your representation at the Meeting.</w:t>
      </w:r>
    </w:p>
    <w:p>
      <w:pPr>
        <w:spacing w:after="0" w:line="171" w:lineRule="exact"/>
        <w:rPr>
          <w:sz w:val="20"/>
          <w:szCs w:val="20"/>
          <w:color w:val="auto"/>
        </w:rPr>
      </w:pPr>
    </w:p>
    <w:p>
      <w:pPr>
        <w:ind w:right="1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Holders of Shares registered on our principal register of members in Cayman Islands must return this proxy by e-mail to </w:t>
      </w:r>
      <w:r>
        <w:rPr>
          <w:rFonts w:ascii="Times New Roman" w:cs="Times New Roman" w:eastAsia="Times New Roman" w:hAnsi="Times New Roman"/>
          <w:sz w:val="18"/>
          <w:szCs w:val="18"/>
          <w:b w:val="1"/>
          <w:bCs w:val="1"/>
          <w:u w:val="single" w:color="auto"/>
          <w:color w:val="auto"/>
        </w:rPr>
        <w:t>ir@autohome.com.cn</w:t>
      </w:r>
      <w:r>
        <w:rPr>
          <w:rFonts w:ascii="Times New Roman" w:cs="Times New Roman" w:eastAsia="Times New Roman" w:hAnsi="Times New Roman"/>
          <w:sz w:val="18"/>
          <w:szCs w:val="18"/>
          <w:b w:val="1"/>
          <w:bCs w:val="1"/>
          <w:color w:val="auto"/>
        </w:rPr>
        <w:t>, by no later than 3:00 p.m. (Hong Kong time) on June 21, 2026.</w:t>
      </w:r>
    </w:p>
    <w:p>
      <w:pPr>
        <w:sectPr>
          <w:pgSz w:w="11900" w:h="16838" w:orient="portrait"/>
          <w:cols w:equalWidth="0" w:num="1">
            <w:col w:w="11020"/>
          </w:cols>
          <w:pgMar w:left="440" w:top="117" w:right="4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Autohome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(NYSE: ATHM and HKEX: 2518)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for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June 23,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adjournment(s) or postponement(s) thereof)</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78"/>
              </w:rPr>
              <w:t>I/We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3"/>
              </w:rPr>
              <w:t>of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5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being the registered holder of                         ordinary shares</w:t>
            </w:r>
            <w:r>
              <w:rPr>
                <w:rFonts w:ascii="Times New Roman" w:cs="Times New Roman" w:eastAsia="Times New Roman" w:hAnsi="Times New Roman"/>
                <w:sz w:val="26"/>
                <w:szCs w:val="26"/>
                <w:i w:val="1"/>
                <w:iCs w:val="1"/>
                <w:color w:val="auto"/>
                <w:vertAlign w:val="superscript"/>
              </w:rPr>
              <w:t>(Note 1)</w:t>
            </w:r>
            <w:r>
              <w:rPr>
                <w:rFonts w:ascii="Times New Roman" w:cs="Times New Roman" w:eastAsia="Times New Roman" w:hAnsi="Times New Roman"/>
                <w:sz w:val="18"/>
                <w:szCs w:val="18"/>
                <w:color w:val="auto"/>
              </w:rPr>
              <w:t xml:space="preserve"> with</w:t>
            </w:r>
          </w:p>
        </w:tc>
      </w:tr>
      <w:tr>
        <w:trPr>
          <w:trHeight w:val="20"/>
        </w:trPr>
        <w:tc>
          <w:tcPr>
            <w:tcW w:w="380" w:type="dxa"/>
            <w:vAlign w:val="bottom"/>
          </w:tcPr>
          <w:p>
            <w:pPr>
              <w:spacing w:after="0" w:line="20" w:lineRule="exact"/>
              <w:rPr>
                <w:sz w:val="1"/>
                <w:szCs w:val="1"/>
                <w:color w:val="auto"/>
              </w:rPr>
            </w:pPr>
          </w:p>
        </w:tc>
        <w:tc>
          <w:tcPr>
            <w:tcW w:w="1300" w:type="dxa"/>
            <w:vAlign w:val="bottom"/>
            <w:gridSpan w:val="7"/>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gridSpan w:val="19"/>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8"/>
        </w:trPr>
        <w:tc>
          <w:tcPr>
            <w:tcW w:w="10960" w:type="dxa"/>
            <w:vAlign w:val="bottom"/>
            <w:gridSpan w:val="32"/>
          </w:tcPr>
          <w:p>
            <w:pPr>
              <w:spacing w:after="0" w:line="219" w:lineRule="exact"/>
              <w:rPr>
                <w:sz w:val="20"/>
                <w:szCs w:val="20"/>
                <w:color w:val="auto"/>
              </w:rPr>
            </w:pPr>
            <w:r>
              <w:rPr>
                <w:rFonts w:ascii="Times New Roman" w:cs="Times New Roman" w:eastAsia="Times New Roman" w:hAnsi="Times New Roman"/>
                <w:sz w:val="17"/>
                <w:szCs w:val="17"/>
                <w:color w:val="auto"/>
              </w:rPr>
              <w:t>a par value of US$0.0025 each of Autohome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appoint the Chairman of the Annual General Meeting</w:t>
            </w:r>
            <w:r>
              <w:rPr>
                <w:rFonts w:ascii="Times New Roman" w:cs="Times New Roman" w:eastAsia="Times New Roman" w:hAnsi="Times New Roman"/>
                <w:sz w:val="25"/>
                <w:szCs w:val="25"/>
                <w:i w:val="1"/>
                <w:iCs w:val="1"/>
                <w:color w:val="auto"/>
                <w:vertAlign w:val="superscript"/>
              </w:rPr>
              <w:t>(Note 2)</w:t>
            </w:r>
            <w:r>
              <w:rPr>
                <w:rFonts w:ascii="Times New Roman" w:cs="Times New Roman" w:eastAsia="Times New Roman" w:hAnsi="Times New Roman"/>
                <w:sz w:val="17"/>
                <w:szCs w:val="17"/>
                <w:color w:val="auto"/>
              </w:rPr>
              <w:t xml:space="preserve"> or</w:t>
            </w:r>
          </w:p>
        </w:tc>
      </w:tr>
      <w:tr>
        <w:trPr>
          <w:trHeight w:val="194"/>
        </w:trPr>
        <w:tc>
          <w:tcPr>
            <w:tcW w:w="4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w w:val="85"/>
              </w:rPr>
              <w:t>of  </w:t>
            </w:r>
          </w:p>
        </w:tc>
        <w:tc>
          <w:tcPr>
            <w:tcW w:w="3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6"/>
                <w:szCs w:val="16"/>
                <w:color w:val="auto"/>
              </w:rPr>
            </w:pPr>
          </w:p>
        </w:tc>
        <w:tc>
          <w:tcPr>
            <w:tcW w:w="56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as my/our proxy to attend and act for me/us at the Annual General Meeting of</w:t>
            </w:r>
          </w:p>
        </w:tc>
      </w:tr>
      <w:tr>
        <w:trPr>
          <w:trHeight w:val="20"/>
        </w:trPr>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the Company to be held at 18th Floor, Tower B, CEC Plaza, 3 Dan Ling Street, Haidian District, Beijing, The People’s Republic of China and at any adjournment(s) or postponement(s) thereof, and in the event of a poll, to vote for me/us as indicated below, or if no such indication is given, as my/our proxy thinks fit.</w:t>
      </w:r>
      <w:r>
        <w:rPr>
          <w:rFonts w:ascii="Times New Roman" w:cs="Times New Roman" w:eastAsia="Times New Roman" w:hAnsi="Times New Roman"/>
          <w:sz w:val="26"/>
          <w:szCs w:val="26"/>
          <w:i w:val="1"/>
          <w:iCs w:val="1"/>
          <w:color w:val="auto"/>
          <w:vertAlign w:val="superscript"/>
        </w:rPr>
        <w:t>(Note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7003415" cy="31292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3415" cy="312928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980" w:type="dxa"/>
            <w:vAlign w:val="bottom"/>
            <w:tcBorders>
              <w:top w:val="single" w:sz="8" w:color="auto"/>
            </w:tcBorders>
          </w:tcPr>
          <w:p>
            <w:pPr>
              <w:ind w:left="3340"/>
              <w:spacing w:after="0"/>
              <w:rPr>
                <w:sz w:val="20"/>
                <w:szCs w:val="20"/>
                <w:color w:val="auto"/>
              </w:rPr>
            </w:pPr>
            <w:r>
              <w:rPr>
                <w:rFonts w:ascii="Times New Roman" w:cs="Times New Roman" w:eastAsia="Times New Roman" w:hAnsi="Times New Roman"/>
                <w:sz w:val="14"/>
                <w:szCs w:val="14"/>
                <w:b w:val="1"/>
                <w:bCs w:val="1"/>
                <w:color w:val="auto"/>
              </w:rPr>
              <w:t>RESOLUTIONS</w:t>
            </w:r>
          </w:p>
        </w:tc>
        <w:tc>
          <w:tcPr>
            <w:tcW w:w="2520" w:type="dxa"/>
            <w:vAlign w:val="bottom"/>
            <w:tcBorders>
              <w:top w:val="single" w:sz="8" w:color="auto"/>
            </w:tcBorders>
          </w:tcPr>
          <w:p>
            <w:pPr>
              <w:ind w:left="1600"/>
              <w:spacing w:after="0" w:line="271" w:lineRule="exact"/>
              <w:rPr>
                <w:sz w:val="20"/>
                <w:szCs w:val="20"/>
                <w:color w:val="auto"/>
              </w:rPr>
            </w:pPr>
            <w:r>
              <w:rPr>
                <w:rFonts w:ascii="Times New Roman" w:cs="Times New Roman" w:eastAsia="Times New Roman" w:hAnsi="Times New Roman"/>
                <w:sz w:val="28"/>
                <w:szCs w:val="28"/>
                <w:b w:val="1"/>
                <w:bCs w:val="1"/>
                <w:color w:val="auto"/>
                <w:vertAlign w:val="subscript"/>
              </w:rPr>
              <w:t>FOR</w:t>
            </w:r>
            <w:r>
              <w:rPr>
                <w:rFonts w:ascii="Times New Roman" w:cs="Times New Roman" w:eastAsia="Times New Roman" w:hAnsi="Times New Roman"/>
                <w:sz w:val="11"/>
                <w:szCs w:val="11"/>
                <w:i w:val="1"/>
                <w:iCs w:val="1"/>
                <w:color w:val="auto"/>
              </w:rPr>
              <w:t>(Note 3</w:t>
            </w:r>
            <w:r>
              <w:rPr>
                <w:rFonts w:ascii="Times New Roman" w:cs="Times New Roman" w:eastAsia="Times New Roman" w:hAnsi="Times New Roman"/>
                <w:sz w:val="28"/>
                <w:szCs w:val="28"/>
                <w:i w:val="1"/>
                <w:iCs w:val="1"/>
                <w:color w:val="auto"/>
                <w:vertAlign w:val="subscript"/>
              </w:rPr>
              <w:t>)</w:t>
            </w:r>
          </w:p>
        </w:tc>
        <w:tc>
          <w:tcPr>
            <w:tcW w:w="2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AGAINST</w:t>
            </w:r>
            <w:r>
              <w:rPr>
                <w:rFonts w:ascii="Times New Roman" w:cs="Times New Roman" w:eastAsia="Times New Roman" w:hAnsi="Times New Roman"/>
                <w:sz w:val="10"/>
                <w:szCs w:val="10"/>
                <w:i w:val="1"/>
                <w:iCs w:val="1"/>
                <w:color w:val="auto"/>
              </w:rPr>
              <w:t>(Note 3)</w:t>
            </w:r>
            <w:r>
              <w:rPr>
                <w:rFonts w:ascii="Times New Roman" w:cs="Times New Roman" w:eastAsia="Times New Roman" w:hAnsi="Times New Roman"/>
                <w:sz w:val="14"/>
                <w:szCs w:val="14"/>
                <w:b w:val="1"/>
                <w:bCs w:val="1"/>
                <w:color w:val="auto"/>
              </w:rPr>
              <w:t xml:space="preserve">   ABSTAIN</w:t>
            </w:r>
            <w:r>
              <w:rPr>
                <w:rFonts w:ascii="Times New Roman" w:cs="Times New Roman" w:eastAsia="Times New Roman" w:hAnsi="Times New Roman"/>
                <w:sz w:val="10"/>
                <w:szCs w:val="10"/>
                <w:i w:val="1"/>
                <w:iCs w:val="1"/>
                <w:color w:val="auto"/>
              </w:rPr>
              <w:t>(Note 3</w:t>
            </w:r>
            <w:r>
              <w:rPr>
                <w:rFonts w:ascii="Times New Roman" w:cs="Times New Roman" w:eastAsia="Times New Roman" w:hAnsi="Times New Roman"/>
                <w:sz w:val="14"/>
                <w:szCs w:val="14"/>
                <w:i w:val="1"/>
                <w:iCs w:val="1"/>
                <w:color w:val="auto"/>
              </w:rPr>
              <w:t>)</w:t>
            </w:r>
          </w:p>
        </w:tc>
      </w:tr>
    </w:tbl>
    <w:p>
      <w:pPr>
        <w:ind w:left="160"/>
        <w:spacing w:after="0"/>
        <w:tabs>
          <w:tab w:leader="none" w:pos="480" w:val="left"/>
        </w:tabs>
        <w:rPr>
          <w:sz w:val="20"/>
          <w:szCs w:val="20"/>
          <w:color w:val="auto"/>
        </w:rPr>
      </w:pPr>
      <w:r>
        <w:rPr>
          <w:rFonts w:ascii="Times New Roman" w:cs="Times New Roman" w:eastAsia="Times New Roman" w:hAnsi="Times New Roman"/>
          <w:sz w:val="18"/>
          <w:szCs w:val="18"/>
          <w:color w:val="auto"/>
        </w:rPr>
        <w:t>1. </w:t>
      </w:r>
      <w:r>
        <w:rPr>
          <w:sz w:val="20"/>
          <w:szCs w:val="20"/>
          <w:color w:val="auto"/>
        </w:rPr>
        <w:tab/>
      </w:r>
      <w:r>
        <w:rPr>
          <w:rFonts w:ascii="Times New Roman" w:cs="Times New Roman" w:eastAsia="Times New Roman" w:hAnsi="Times New Roman"/>
          <w:sz w:val="17"/>
          <w:szCs w:val="17"/>
          <w:color w:val="auto"/>
        </w:rPr>
        <w:t>As a special resolution:</w:t>
      </w:r>
    </w:p>
    <w:p>
      <w:pPr>
        <w:spacing w:after="0" w:line="97" w:lineRule="exact"/>
        <w:rPr>
          <w:sz w:val="20"/>
          <w:szCs w:val="20"/>
          <w:color w:val="auto"/>
        </w:rPr>
      </w:pPr>
    </w:p>
    <w:p>
      <w:pPr>
        <w:ind w:left="500" w:right="3840"/>
        <w:spacing w:after="0" w:line="258" w:lineRule="auto"/>
        <w:rPr>
          <w:sz w:val="20"/>
          <w:szCs w:val="20"/>
          <w:color w:val="auto"/>
        </w:rPr>
      </w:pPr>
      <w:r>
        <w:rPr>
          <w:rFonts w:ascii="Times New Roman" w:cs="Times New Roman" w:eastAsia="Times New Roman" w:hAnsi="Times New Roman"/>
          <w:sz w:val="18"/>
          <w:szCs w:val="18"/>
          <w:color w:val="auto"/>
        </w:rPr>
        <w:t>THAT the Company’s Seventh Amended and Restated Memorandum of Association and Articles of Association be amended and restated by their deletion in their entirety and by the substitution in their place of the Eighth Amended and Restated Memorandum of Association and Articles of Association in the form as attached as Exhibit B of the Notice of the Annual General Meeting.</w:t>
      </w:r>
    </w:p>
    <w:p>
      <w:pPr>
        <w:spacing w:after="0" w:line="75" w:lineRule="exact"/>
        <w:rPr>
          <w:sz w:val="20"/>
          <w:szCs w:val="20"/>
          <w:color w:val="auto"/>
        </w:rPr>
      </w:pPr>
    </w:p>
    <w:p>
      <w:pPr>
        <w:ind w:left="500" w:hanging="347"/>
        <w:spacing w:after="0"/>
        <w:tabs>
          <w:tab w:leader="none" w:pos="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w:t>
      </w:r>
    </w:p>
    <w:p>
      <w:pPr>
        <w:spacing w:after="0" w:line="117" w:lineRule="exact"/>
        <w:rPr>
          <w:rFonts w:ascii="Times New Roman" w:cs="Times New Roman" w:eastAsia="Times New Roman" w:hAnsi="Times New Roman"/>
          <w:sz w:val="18"/>
          <w:szCs w:val="18"/>
          <w:color w:val="auto"/>
        </w:rPr>
      </w:pPr>
    </w:p>
    <w:p>
      <w:pPr>
        <w:ind w:left="500" w:right="38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THAT Mr. Chi Liu be re-elected as a director of the Company and each director of the Company be and is hereby authorized to take any and every action that might be necessary to effect the foregoing resolution as such director, in his or her absolute discretion, thinks fit.</w:t>
      </w:r>
    </w:p>
    <w:p>
      <w:pPr>
        <w:spacing w:after="0" w:line="49" w:lineRule="exact"/>
        <w:rPr>
          <w:rFonts w:ascii="Times New Roman" w:cs="Times New Roman" w:eastAsia="Times New Roman" w:hAnsi="Times New Roman"/>
          <w:sz w:val="18"/>
          <w:szCs w:val="18"/>
          <w:color w:val="auto"/>
        </w:rPr>
      </w:pPr>
    </w:p>
    <w:p>
      <w:pPr>
        <w:ind w:left="500" w:hanging="347"/>
        <w:spacing w:after="0"/>
        <w:tabs>
          <w:tab w:leader="none" w:pos="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w:t>
      </w:r>
    </w:p>
    <w:p>
      <w:pPr>
        <w:spacing w:after="0" w:line="117" w:lineRule="exact"/>
        <w:rPr>
          <w:rFonts w:ascii="Times New Roman" w:cs="Times New Roman" w:eastAsia="Times New Roman" w:hAnsi="Times New Roman"/>
          <w:sz w:val="18"/>
          <w:szCs w:val="18"/>
          <w:color w:val="auto"/>
        </w:rPr>
      </w:pPr>
    </w:p>
    <w:p>
      <w:pPr>
        <w:ind w:left="500" w:right="38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THAT Mr. Haishan Liang be re-elected as a director of the Company and each director of the Company be and is hereby authorized to take any and every action that might be necessary to effect the foregoing resolution as such director, in his or her absolute discretion, thinks fit.</w:t>
      </w:r>
    </w:p>
    <w:p>
      <w:pPr>
        <w:spacing w:after="0" w:line="49" w:lineRule="exact"/>
        <w:rPr>
          <w:rFonts w:ascii="Times New Roman" w:cs="Times New Roman" w:eastAsia="Times New Roman" w:hAnsi="Times New Roman"/>
          <w:sz w:val="18"/>
          <w:szCs w:val="18"/>
          <w:color w:val="auto"/>
        </w:rPr>
      </w:pPr>
    </w:p>
    <w:p>
      <w:pPr>
        <w:ind w:left="500" w:hanging="347"/>
        <w:spacing w:after="0"/>
        <w:tabs>
          <w:tab w:leader="none" w:pos="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w:t>
      </w:r>
    </w:p>
    <w:p>
      <w:pPr>
        <w:spacing w:after="0" w:line="117" w:lineRule="exact"/>
        <w:rPr>
          <w:rFonts w:ascii="Times New Roman" w:cs="Times New Roman" w:eastAsia="Times New Roman" w:hAnsi="Times New Roman"/>
          <w:sz w:val="18"/>
          <w:szCs w:val="18"/>
          <w:color w:val="auto"/>
        </w:rPr>
      </w:pPr>
    </w:p>
    <w:p>
      <w:pPr>
        <w:ind w:left="500" w:right="38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THAT Ms. Cuimei Zhang be re-elected as a director of the Company and each director of the Company be and is hereby authorized to take any and every action that might be necessary to effect the foregoing resolution as such director, in his or her absolute discretion, thinks fit.</w:t>
      </w:r>
    </w:p>
    <w:p>
      <w:pPr>
        <w:sectPr>
          <w:pgSz w:w="11900" w:h="16838" w:orient="portrait"/>
          <w:cols w:equalWidth="0" w:num="1">
            <w:col w:w="11020"/>
          </w:cols>
          <w:pgMar w:left="440" w:top="266" w:right="439" w:bottom="1440" w:gutter="0" w:footer="0" w:header="0"/>
        </w:sectPr>
      </w:pPr>
    </w:p>
    <w:bookmarkStart w:id="82" w:name="page83"/>
    <w:bookmarkEnd w:id="82"/>
    <w:tbl>
      <w:tblPr>
        <w:tblLayout w:type="fixed"/>
        <w:tblInd w:w="14" w:type="dxa"/>
        <w:tblCellMar>
          <w:top w:w="0" w:type="dxa"/>
          <w:left w:w="0" w:type="dxa"/>
          <w:bottom w:w="0" w:type="dxa"/>
          <w:right w:w="0" w:type="dxa"/>
        </w:tblCellMar>
      </w:tblPr>
      <w:tr>
        <w:trPr>
          <w:trHeight w:val="162"/>
        </w:trPr>
        <w:tc>
          <w:tcPr>
            <w:tcW w:w="400" w:type="dxa"/>
            <w:vAlign w:val="bottom"/>
            <w:tcBorders>
              <w:top w:val="single" w:sz="8" w:color="auto"/>
              <w:left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980" w:type="dxa"/>
            <w:vAlign w:val="bottom"/>
            <w:tcBorders>
              <w:top w:val="single" w:sz="8" w:color="auto"/>
              <w:bottom w:val="single" w:sz="8" w:color="auto"/>
            </w:tcBorders>
          </w:tcPr>
          <w:p>
            <w:pPr>
              <w:spacing w:after="0"/>
              <w:rPr>
                <w:sz w:val="14"/>
                <w:szCs w:val="14"/>
                <w:color w:val="auto"/>
              </w:rPr>
            </w:pPr>
          </w:p>
        </w:tc>
        <w:tc>
          <w:tcPr>
            <w:tcW w:w="468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RESOLUTIONS</w:t>
            </w:r>
          </w:p>
        </w:tc>
        <w:tc>
          <w:tcPr>
            <w:tcW w:w="1320" w:type="dxa"/>
            <w:vAlign w:val="bottom"/>
            <w:tcBorders>
              <w:top w:val="single" w:sz="8" w:color="auto"/>
              <w:bottom w:val="single" w:sz="8" w:color="auto"/>
              <w:right w:val="single" w:sz="8" w:color="auto"/>
            </w:tcBorders>
          </w:tcPr>
          <w:p>
            <w:pPr>
              <w:ind w:left="36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FOR</w:t>
            </w:r>
            <w:r>
              <w:rPr>
                <w:rFonts w:ascii="Times New Roman" w:cs="Times New Roman" w:eastAsia="Times New Roman" w:hAnsi="Times New Roman"/>
                <w:sz w:val="9"/>
                <w:szCs w:val="9"/>
                <w:i w:val="1"/>
                <w:iCs w:val="1"/>
                <w:color w:val="auto"/>
              </w:rPr>
              <w:t>(Note 3</w:t>
            </w:r>
            <w:r>
              <w:rPr>
                <w:rFonts w:ascii="Times New Roman" w:cs="Times New Roman" w:eastAsia="Times New Roman" w:hAnsi="Times New Roman"/>
                <w:sz w:val="18"/>
                <w:szCs w:val="18"/>
                <w:i w:val="1"/>
                <w:iCs w:val="1"/>
                <w:color w:val="auto"/>
                <w:vertAlign w:val="subscript"/>
              </w:rPr>
              <w:t>)</w:t>
            </w:r>
          </w:p>
        </w:tc>
        <w:tc>
          <w:tcPr>
            <w:tcW w:w="1300" w:type="dxa"/>
            <w:vAlign w:val="bottom"/>
            <w:tcBorders>
              <w:top w:val="single" w:sz="8" w:color="auto"/>
              <w:bottom w:val="single" w:sz="8" w:color="auto"/>
              <w:right w:val="single" w:sz="8" w:color="auto"/>
            </w:tcBorders>
            <w:gridSpan w:val="2"/>
          </w:tcPr>
          <w:p>
            <w:pPr>
              <w:ind w:left="22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AGAINST</w:t>
            </w:r>
            <w:r>
              <w:rPr>
                <w:rFonts w:ascii="Times New Roman" w:cs="Times New Roman" w:eastAsia="Times New Roman" w:hAnsi="Times New Roman"/>
                <w:sz w:val="9"/>
                <w:szCs w:val="9"/>
                <w:i w:val="1"/>
                <w:iCs w:val="1"/>
                <w:color w:val="auto"/>
              </w:rPr>
              <w:t>(Note 3)</w:t>
            </w:r>
          </w:p>
        </w:tc>
        <w:tc>
          <w:tcPr>
            <w:tcW w:w="1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ABSTAIN</w:t>
            </w:r>
            <w:r>
              <w:rPr>
                <w:rFonts w:ascii="Times New Roman" w:cs="Times New Roman" w:eastAsia="Times New Roman" w:hAnsi="Times New Roman"/>
                <w:sz w:val="10"/>
                <w:szCs w:val="10"/>
                <w:i w:val="1"/>
                <w:iCs w:val="1"/>
                <w:color w:val="auto"/>
              </w:rPr>
              <w:t>(Note 3</w:t>
            </w:r>
            <w:r>
              <w:rPr>
                <w:rFonts w:ascii="Times New Roman" w:cs="Times New Roman" w:eastAsia="Times New Roman" w:hAnsi="Times New Roman"/>
                <w:sz w:val="14"/>
                <w:szCs w:val="14"/>
                <w:i w:val="1"/>
                <w:iCs w:val="1"/>
                <w:color w:val="auto"/>
              </w:rPr>
              <w:t>)</w:t>
            </w:r>
          </w:p>
        </w:tc>
        <w:tc>
          <w:tcPr>
            <w:tcW w:w="20" w:type="dxa"/>
            <w:vAlign w:val="bottom"/>
            <w:tcBorders>
              <w:top w:val="single" w:sz="8" w:color="auto"/>
              <w:bottom w:val="single" w:sz="8" w:color="auto"/>
            </w:tcBorders>
            <w:shd w:val="clear" w:color="auto" w:fill="000000"/>
          </w:tcPr>
          <w:p>
            <w:pPr>
              <w:spacing w:after="0"/>
              <w:rPr>
                <w:sz w:val="14"/>
                <w:szCs w:val="14"/>
                <w:color w:val="auto"/>
              </w:rPr>
            </w:pPr>
          </w:p>
        </w:tc>
      </w:tr>
      <w:tr>
        <w:trPr>
          <w:trHeight w:val="304"/>
        </w:trPr>
        <w:tc>
          <w:tcPr>
            <w:tcW w:w="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5. </w:t>
            </w:r>
          </w:p>
        </w:tc>
        <w:tc>
          <w:tcPr>
            <w:tcW w:w="60" w:type="dxa"/>
            <w:vAlign w:val="bottom"/>
          </w:tcPr>
          <w:p>
            <w:pPr>
              <w:spacing w:after="0"/>
              <w:rPr>
                <w:sz w:val="24"/>
                <w:szCs w:val="24"/>
                <w:color w:val="auto"/>
              </w:rPr>
            </w:pPr>
          </w:p>
        </w:tc>
        <w:tc>
          <w:tcPr>
            <w:tcW w:w="67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As an ordinary resolution:</w:t>
            </w:r>
          </w:p>
        </w:tc>
        <w:tc>
          <w:tcPr>
            <w:tcW w:w="13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306"/>
        </w:trPr>
        <w:tc>
          <w:tcPr>
            <w:tcW w:w="4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7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9"/>
              </w:rPr>
              <w:t>THAT Mr. Shenglei Zhou be re-elected as a director of the Company and each director of the</w:t>
            </w:r>
          </w:p>
        </w:tc>
        <w:tc>
          <w:tcPr>
            <w:tcW w:w="13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16"/>
        </w:trPr>
        <w:tc>
          <w:tcPr>
            <w:tcW w:w="40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Company be and is hereby authorized to take any and every action that might be necessary</w:t>
            </w:r>
          </w:p>
        </w:tc>
        <w:tc>
          <w:tcPr>
            <w:tcW w:w="13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4"/>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6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to effect the foregoing resolution as such director, in his or her absolute discretion, thinks fit.</w:t>
            </w:r>
          </w:p>
        </w:tc>
        <w:tc>
          <w:tcPr>
            <w:tcW w:w="13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r>
      <w:tr>
        <w:trPr>
          <w:trHeight w:val="304"/>
        </w:trPr>
        <w:tc>
          <w:tcPr>
            <w:tcW w:w="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c>
          <w:tcPr>
            <w:tcW w:w="67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As an ordinary resolution:</w:t>
            </w:r>
          </w:p>
        </w:tc>
        <w:tc>
          <w:tcPr>
            <w:tcW w:w="13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306"/>
        </w:trPr>
        <w:tc>
          <w:tcPr>
            <w:tcW w:w="40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7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THAT Mr. Xing Fang be re-elected as a director of the Company and each director of the</w:t>
            </w:r>
          </w:p>
        </w:tc>
        <w:tc>
          <w:tcPr>
            <w:tcW w:w="13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16"/>
        </w:trPr>
        <w:tc>
          <w:tcPr>
            <w:tcW w:w="40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Company be and is hereby authorized to take any and every action that might be necessary</w:t>
            </w:r>
          </w:p>
        </w:tc>
        <w:tc>
          <w:tcPr>
            <w:tcW w:w="13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4"/>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6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to effect the foregoing resolution as such director, in his or her absolute discretion, thinks fit.</w:t>
            </w:r>
          </w:p>
        </w:tc>
        <w:tc>
          <w:tcPr>
            <w:tcW w:w="13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10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2026</w:t>
            </w:r>
          </w:p>
        </w:tc>
        <w:tc>
          <w:tcPr>
            <w:tcW w:w="26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Signature(s)</w:t>
            </w:r>
            <w:r>
              <w:rPr>
                <w:rFonts w:ascii="Times New Roman" w:cs="Times New Roman" w:eastAsia="Times New Roman" w:hAnsi="Times New Roman"/>
                <w:sz w:val="26"/>
                <w:szCs w:val="26"/>
                <w:i w:val="1"/>
                <w:iCs w:val="1"/>
                <w:color w:val="auto"/>
                <w:vertAlign w:val="superscript"/>
              </w:rPr>
              <w:t>(Note 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265430</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33" w:lineRule="exact"/>
        <w:rPr>
          <w:sz w:val="20"/>
          <w:szCs w:val="20"/>
          <w:color w:val="auto"/>
        </w:rPr>
      </w:pPr>
    </w:p>
    <w:p>
      <w:pPr>
        <w:ind w:left="424" w:right="60" w:hanging="424"/>
        <w:spacing w:after="0" w:line="261" w:lineRule="auto"/>
        <w:tabs>
          <w:tab w:leader="none" w:pos="4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insert the number of ordinary shares registered in your name(s) to which this proxy relates. If no number is inserted, this form of proxy will be deemed to relate to all the ordinary shares in the Company registered in your name(s).</w:t>
      </w:r>
    </w:p>
    <w:p>
      <w:pPr>
        <w:ind w:left="424" w:right="40" w:hanging="424"/>
        <w:spacing w:after="0" w:line="265" w:lineRule="auto"/>
        <w:tabs>
          <w:tab w:leader="none" w:pos="424"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proxy other than the Chairman is preferred, strike out the words “</w:t>
      </w:r>
      <w:r>
        <w:rPr>
          <w:rFonts w:ascii="Times New Roman" w:cs="Times New Roman" w:eastAsia="Times New Roman" w:hAnsi="Times New Roman"/>
          <w:sz w:val="17"/>
          <w:szCs w:val="17"/>
          <w:b w:val="1"/>
          <w:bCs w:val="1"/>
          <w:color w:val="auto"/>
        </w:rPr>
        <w:t>THE CHAIRMAN OF THE ANNUAL GENERAL MEETING</w:t>
      </w:r>
      <w:r>
        <w:rPr>
          <w:rFonts w:ascii="Times New Roman" w:cs="Times New Roman" w:eastAsia="Times New Roman" w:hAnsi="Times New Roman"/>
          <w:sz w:val="17"/>
          <w:szCs w:val="17"/>
          <w:color w:val="auto"/>
        </w:rPr>
        <w:t>” and insert the name and address of the proxy desired in the space provided. A member may appoint one or more proxies to attend and vote in his/her stead. If you have appointed more than one proxy, please specify in the voting boxes above the number of ordinary shares in respect of which each</w:t>
      </w:r>
    </w:p>
    <w:p>
      <w:pPr>
        <w:jc w:val="both"/>
        <w:ind w:left="424" w:right="100"/>
        <w:spacing w:after="0" w:line="250" w:lineRule="auto"/>
        <w:rPr>
          <w:sz w:val="20"/>
          <w:szCs w:val="20"/>
          <w:color w:val="auto"/>
        </w:rPr>
      </w:pPr>
      <w:r>
        <w:rPr>
          <w:rFonts w:ascii="Times New Roman" w:cs="Times New Roman" w:eastAsia="Times New Roman" w:hAnsi="Times New Roman"/>
          <w:sz w:val="18"/>
          <w:szCs w:val="18"/>
          <w:color w:val="auto"/>
        </w:rPr>
        <w:t xml:space="preserve">proxy is entitled to exercise the related votes. If you do not complete this information, the first person listed above shall be entitled to exercise all the votes in relation to the relevant resolution. </w:t>
      </w:r>
      <w:r>
        <w:rPr>
          <w:rFonts w:ascii="Times New Roman" w:cs="Times New Roman" w:eastAsia="Times New Roman" w:hAnsi="Times New Roman"/>
          <w:sz w:val="18"/>
          <w:szCs w:val="18"/>
          <w:b w:val="1"/>
          <w:bCs w:val="1"/>
          <w:color w:val="auto"/>
        </w:rPr>
        <w:t>ANY ALTERATION MADE TO THIS FORM OF PROXY MUST BE INITIALED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PERSON(S) WHO SIGN(S) IT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24" w:right="60" w:hanging="424"/>
        <w:spacing w:after="0" w:line="265" w:lineRule="auto"/>
        <w:tabs>
          <w:tab w:leader="none" w:pos="424"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IMPORTANT: IF YOU WISH TO VOTE FOR THE RESOLUTION, TICK THE APPROPRIATE BOX MARKED “FOR.” IF YOU WISH TO VOTE AGAINST THE RESOLUTION, TICK THE APPROPRIATE BOX MARKED “AGAINST.” IF YOU WISH TO ABSTAIN FROM VOTING ON THE RESOLUTION, TICK THE BOX MARKED “ABSTAIN”. ALTERNATIVELY, YOU MAY ALSO INDICATE THE RESPECTIVE NUMBERS OF SHARES FOR EACH OF THE “FOR,” “AGAINST” AND “ABSTAIN” COLUMNS. </w:t>
      </w:r>
      <w:r>
        <w:rPr>
          <w:rFonts w:ascii="Times New Roman" w:cs="Times New Roman" w:eastAsia="Times New Roman" w:hAnsi="Times New Roman"/>
          <w:sz w:val="17"/>
          <w:szCs w:val="17"/>
          <w:color w:val="auto"/>
        </w:rPr>
        <w:t>Failure to complete any or all the boxes will entitle your proxy to cast his or her votes at his or her discretion. A proxy need not be a member of the Company, but must attend the Meeting in person. A member may only have one form of proxy valid at any one time and if a member submits more than one form of proxy, the last form of proxy received in the manner described in this form of proxy above shall be treated as the only valid</w:t>
      </w:r>
    </w:p>
    <w:p>
      <w:pPr>
        <w:spacing w:after="0" w:line="1" w:lineRule="exact"/>
        <w:rPr>
          <w:sz w:val="20"/>
          <w:szCs w:val="20"/>
          <w:color w:val="auto"/>
        </w:rPr>
      </w:pPr>
    </w:p>
    <w:p>
      <w:pPr>
        <w:ind w:left="424" w:right="40"/>
        <w:spacing w:after="0" w:line="250" w:lineRule="auto"/>
        <w:rPr>
          <w:sz w:val="20"/>
          <w:szCs w:val="20"/>
          <w:color w:val="auto"/>
        </w:rPr>
      </w:pPr>
      <w:r>
        <w:rPr>
          <w:rFonts w:ascii="Times New Roman" w:cs="Times New Roman" w:eastAsia="Times New Roman" w:hAnsi="Times New Roman"/>
          <w:sz w:val="18"/>
          <w:szCs w:val="18"/>
          <w:color w:val="auto"/>
        </w:rPr>
        <w:t>form of proxy. Any alteration made to this form of proxy must be duly initialed by the person who signs it. Completion and deposit of a form of proxy does not prevent a member from attending the Meeting in person but if a member attends the Meeting and votes, this proxy will be revoked.</w:t>
      </w:r>
    </w:p>
    <w:p>
      <w:pPr>
        <w:spacing w:after="0" w:line="1" w:lineRule="exact"/>
        <w:rPr>
          <w:sz w:val="20"/>
          <w:szCs w:val="20"/>
          <w:color w:val="auto"/>
        </w:rPr>
      </w:pPr>
    </w:p>
    <w:p>
      <w:pPr>
        <w:ind w:left="424" w:right="400" w:hanging="424"/>
        <w:spacing w:after="0" w:line="260"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of proxy must be signed by you or your attorney duly authorized in writing or, in the case of a corporation, must be either executed under its seal or under the hand of an officer or attorney or other person duly authorized to sign the same.</w:t>
      </w:r>
    </w:p>
    <w:p>
      <w:pPr>
        <w:sectPr>
          <w:pgSz w:w="11900" w:h="16838" w:orient="portrait"/>
          <w:cols w:equalWidth="0" w:num="1">
            <w:col w:w="11024"/>
          </w:cols>
          <w:pgMar w:left="436" w:top="268" w:right="439" w:bottom="1440" w:gutter="0" w:footer="0" w:header="0"/>
        </w:sectPr>
      </w:pPr>
    </w:p>
    <w:bookmarkStart w:id="83" w:name="page84"/>
    <w:bookmarkEnd w:id="83"/>
    <w:p>
      <w:pPr>
        <w:ind w:left="9080"/>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173990</wp:posOffset>
            </wp:positionV>
            <wp:extent cx="5915025" cy="76809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15025" cy="768096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739775</wp:posOffset>
            </wp:positionV>
            <wp:extent cx="699516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1071245" cy="4540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7124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Autohome Inc. Announces Unaudited First Quarter 2026 Financial Results</w:t>
      </w:r>
    </w:p>
    <w:p>
      <w:pPr>
        <w:spacing w:after="0" w:line="229" w:lineRule="exact"/>
        <w:rPr>
          <w:sz w:val="20"/>
          <w:szCs w:val="20"/>
          <w:color w:val="auto"/>
        </w:rPr>
      </w:pPr>
    </w:p>
    <w:p>
      <w:pPr>
        <w:ind w:left="4" w:right="780"/>
        <w:spacing w:after="0" w:line="282" w:lineRule="auto"/>
        <w:rPr>
          <w:sz w:val="20"/>
          <w:szCs w:val="20"/>
          <w:color w:val="auto"/>
        </w:rPr>
      </w:pPr>
      <w:r>
        <w:rPr>
          <w:rFonts w:ascii="Times New Roman" w:cs="Times New Roman" w:eastAsia="Times New Roman" w:hAnsi="Times New Roman"/>
          <w:sz w:val="18"/>
          <w:szCs w:val="18"/>
          <w:color w:val="auto"/>
        </w:rPr>
        <w:t>BEIJING, May 28, 2026 – Autohome Inc. (NYSE: ATHM; HKEX: 2518) (“Autohome” or the “Company”), the leading online destination for automobile consumers in China, today announced its unaudited financial results for the three months ended March 31, 2026.</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r>
        <w:rPr>
          <w:rFonts w:ascii="Times New Roman" w:cs="Times New Roman" w:eastAsia="Times New Roman" w:hAnsi="Times New Roman"/>
          <w:sz w:val="26"/>
          <w:szCs w:val="26"/>
          <w:b w:val="1"/>
          <w:bCs w:val="1"/>
          <w:color w:val="auto"/>
          <w:vertAlign w:val="superscript"/>
        </w:rPr>
        <w:t>1</w:t>
      </w:r>
    </w:p>
    <w:p>
      <w:pPr>
        <w:spacing w:after="0" w:line="63" w:lineRule="exact"/>
        <w:rPr>
          <w:sz w:val="20"/>
          <w:szCs w:val="20"/>
          <w:color w:val="auto"/>
        </w:rPr>
      </w:pPr>
    </w:p>
    <w:p>
      <w:pPr>
        <w:ind w:left="424" w:right="200" w:hanging="316"/>
        <w:spacing w:after="0" w:line="258"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in the first quarter of 2026 were RMB1,048.4 million (US$152.0 million), compared to RMB1,453.8 million in the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2025.</w:t>
      </w:r>
    </w:p>
    <w:p>
      <w:pPr>
        <w:spacing w:after="0" w:line="84" w:lineRule="exact"/>
        <w:rPr>
          <w:rFonts w:ascii="Times New Roman" w:cs="Times New Roman" w:eastAsia="Times New Roman" w:hAnsi="Times New Roman"/>
          <w:sz w:val="18"/>
          <w:szCs w:val="18"/>
          <w:color w:val="auto"/>
        </w:rPr>
      </w:pPr>
    </w:p>
    <w:p>
      <w:pPr>
        <w:ind w:left="424" w:right="20" w:hanging="316"/>
        <w:spacing w:after="0" w:line="268"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Autohome </w:t>
      </w:r>
      <w:r>
        <w:rPr>
          <w:rFonts w:ascii="Times New Roman" w:cs="Times New Roman" w:eastAsia="Times New Roman" w:hAnsi="Times New Roman"/>
          <w:sz w:val="18"/>
          <w:szCs w:val="18"/>
          <w:color w:val="auto"/>
        </w:rPr>
        <w:t>in the first quarter of 2026 was RMB44.3 million (US$6.4 million), compared to RMB356.6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corresponding period of 2025, while </w:t>
      </w:r>
      <w:r>
        <w:rPr>
          <w:rFonts w:ascii="Times New Roman" w:cs="Times New Roman" w:eastAsia="Times New Roman" w:hAnsi="Times New Roman"/>
          <w:sz w:val="18"/>
          <w:szCs w:val="18"/>
          <w:b w:val="1"/>
          <w:bCs w:val="1"/>
          <w:color w:val="auto"/>
        </w:rPr>
        <w:t>net income attributable to ordinary shareholders</w:t>
      </w:r>
      <w:r>
        <w:rPr>
          <w:rFonts w:ascii="Times New Roman" w:cs="Times New Roman" w:eastAsia="Times New Roman" w:hAnsi="Times New Roman"/>
          <w:sz w:val="18"/>
          <w:szCs w:val="18"/>
          <w:color w:val="auto"/>
        </w:rPr>
        <w:t xml:space="preserve"> in the first quarter of 2026 was RMB44.3 million (US$6.4 million), compared to RMB340.5 million in the corresponding period of 2025.</w:t>
      </w:r>
    </w:p>
    <w:p>
      <w:pPr>
        <w:spacing w:after="0" w:line="76" w:lineRule="exact"/>
        <w:rPr>
          <w:rFonts w:ascii="Times New Roman" w:cs="Times New Roman" w:eastAsia="Times New Roman" w:hAnsi="Times New Roman"/>
          <w:sz w:val="18"/>
          <w:szCs w:val="18"/>
          <w:color w:val="auto"/>
        </w:rPr>
      </w:pPr>
    </w:p>
    <w:p>
      <w:pPr>
        <w:ind w:left="424" w:right="60" w:hanging="316"/>
        <w:spacing w:after="0" w:line="215"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net income attributable to Autohome (Non-GAAP)</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first quarter of 2026 was RMB179.2 million (US$26.0 million),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RMB420.8 million in the corresponding period of 2025.</w:t>
      </w:r>
    </w:p>
    <w:p>
      <w:pPr>
        <w:spacing w:after="0" w:line="100" w:lineRule="exact"/>
        <w:rPr>
          <w:rFonts w:ascii="Times New Roman" w:cs="Times New Roman" w:eastAsia="Times New Roman" w:hAnsi="Times New Roman"/>
          <w:sz w:val="18"/>
          <w:szCs w:val="18"/>
          <w:color w:val="auto"/>
        </w:rPr>
      </w:pPr>
    </w:p>
    <w:p>
      <w:pPr>
        <w:ind w:left="424" w:right="580" w:hanging="316"/>
        <w:spacing w:after="0" w:line="286"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 repurchase: </w:t>
      </w:r>
      <w:r>
        <w:rPr>
          <w:rFonts w:ascii="Times New Roman" w:cs="Times New Roman" w:eastAsia="Times New Roman" w:hAnsi="Times New Roman"/>
          <w:sz w:val="18"/>
          <w:szCs w:val="18"/>
          <w:color w:val="auto"/>
        </w:rPr>
        <w:t>As of May 22, 2026, the Company had repurchased 3,465,236 American depositary shares (“ADSs”) for a total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US$62.3 million.</w:t>
      </w:r>
    </w:p>
    <w:p>
      <w:pPr>
        <w:spacing w:after="0" w:line="60" w:lineRule="exact"/>
        <w:rPr>
          <w:rFonts w:ascii="Times New Roman" w:cs="Times New Roman" w:eastAsia="Times New Roman" w:hAnsi="Times New Roman"/>
          <w:sz w:val="18"/>
          <w:szCs w:val="18"/>
          <w:color w:val="auto"/>
        </w:rPr>
      </w:pPr>
    </w:p>
    <w:p>
      <w:pPr>
        <w:ind w:left="424" w:right="40" w:hanging="316"/>
        <w:spacing w:after="0" w:line="262"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Dividend: </w:t>
      </w:r>
      <w:r>
        <w:rPr>
          <w:rFonts w:ascii="Times New Roman" w:cs="Times New Roman" w:eastAsia="Times New Roman" w:hAnsi="Times New Roman"/>
          <w:sz w:val="18"/>
          <w:szCs w:val="18"/>
          <w:color w:val="auto"/>
        </w:rPr>
        <w:t>The Company’s board of directors has approved a cash dividend of US$0.66 per ADS (or US$0.1650 per ordinary share)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U.S. dollars (the “Dividend”) to holders of ADSs and ordinary shares of record as of the close of business on July 2, 2026. The aggregate amount of the Dividend will be approximately RMB0.5 billion and is expected to be paid to holders of ordinary shares and ADSs of the Company on or around July 24, 2026 and July 31, 2026, respectively.</w:t>
      </w:r>
    </w:p>
    <w:p>
      <w:pPr>
        <w:spacing w:after="0" w:line="180"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Mr. Chi Liu, Chairman of the Board of Directors and Chief Executive Officer of Autohome, stated, “We began the year by rolling out a series of initiatives to accelerate the transformation of our platform from an automotive information media into a comprehensive automotive service ecosystem. On the user front, we have initiated a major brand refresh and upgraded Autohome’s App, shifting our focus towards users’ interests and the end-to-end car-purchase journey to more precisely address consumer demand. At the same time, by strengthening the development of premium content and expanding our new media matrix, we continued to grow our user base steadily. According to </w:t>
      </w:r>
      <w:r>
        <w:rPr>
          <w:rFonts w:ascii="Times New Roman" w:cs="Times New Roman" w:eastAsia="Times New Roman" w:hAnsi="Times New Roman"/>
          <w:sz w:val="18"/>
          <w:szCs w:val="18"/>
          <w:i w:val="1"/>
          <w:iCs w:val="1"/>
          <w:color w:val="auto"/>
        </w:rPr>
        <w:t>QuestMobile</w:t>
      </w:r>
      <w:r>
        <w:rPr>
          <w:rFonts w:ascii="Times New Roman" w:cs="Times New Roman" w:eastAsia="Times New Roman" w:hAnsi="Times New Roman"/>
          <w:sz w:val="18"/>
          <w:szCs w:val="18"/>
          <w:color w:val="auto"/>
        </w:rPr>
        <w:t xml:space="preserve">, the average number of our mobile daily active users in March 2026 reached a record high of over 80 million, up 4.9% year-over-year. With regard to our transaction platform development, our new retail business launched an ‘online-car-purchase’ feature in two cities, piloting collaborative initiatives with dealerships to explore new e-commerce experiences for car purchases. We also continued to advance our global expansion. </w:t>
      </w:r>
      <w:r>
        <w:rPr>
          <w:rFonts w:ascii="Times New Roman" w:cs="Times New Roman" w:eastAsia="Times New Roman" w:hAnsi="Times New Roman"/>
          <w:sz w:val="18"/>
          <w:szCs w:val="18"/>
          <w:i w:val="1"/>
          <w:iCs w:val="1"/>
          <w:color w:val="auto"/>
        </w:rPr>
        <w:t>YesAuto</w:t>
      </w:r>
      <w:r>
        <w:rPr>
          <w:rFonts w:ascii="Times New Roman" w:cs="Times New Roman" w:eastAsia="Times New Roman" w:hAnsi="Times New Roman"/>
          <w:sz w:val="18"/>
          <w:szCs w:val="18"/>
          <w:color w:val="auto"/>
        </w:rPr>
        <w:t>, our overseas platform, officially launched operations in Thailand. Our global used car export platform also went live and received positive feedback from the market. Together, these advancements mark the beginning of a new development phase for Autohome, characterized by a dual-circulation model encompassing both domestic and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7715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8" w:lineRule="exact"/>
        <w:rPr>
          <w:sz w:val="20"/>
          <w:szCs w:val="20"/>
          <w:color w:val="auto"/>
        </w:rPr>
      </w:pPr>
    </w:p>
    <w:p>
      <w:pPr>
        <w:jc w:val="both"/>
        <w:ind w:left="424" w:right="120" w:hanging="424"/>
        <w:spacing w:after="0" w:line="231" w:lineRule="auto"/>
        <w:tabs>
          <w:tab w:leader="none" w:pos="424" w:val="left"/>
        </w:tabs>
        <w:numPr>
          <w:ilvl w:val="0"/>
          <w:numId w:val="1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reporting currency of the Company is Renminbi (“RMB”). For readers’ convenience, certain amounts throughout the release are presented in US dollars (“US$”). Unless otherwise noted, all conversions from RMB to US$ are translated at the noon buying rate of US$1.00 to RMB6.8980 on March 31, 2026, in the City of New York for cable transfers of RMB as certified for customs purposes by the Federal Reserve Bank of New</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York. No representation is made that the RMB amounts could have been, or could be, converted into US$ at such rate.</w:t>
      </w:r>
    </w:p>
    <w:p>
      <w:pPr>
        <w:spacing w:after="0" w:line="9" w:lineRule="exact"/>
        <w:rPr>
          <w:sz w:val="20"/>
          <w:szCs w:val="20"/>
          <w:color w:val="auto"/>
        </w:rPr>
      </w:pPr>
    </w:p>
    <w:p>
      <w:pPr>
        <w:ind w:left="424" w:right="120" w:hanging="424"/>
        <w:spacing w:after="0" w:line="200" w:lineRule="auto"/>
        <w:tabs>
          <w:tab w:leader="none" w:pos="424" w:val="left"/>
        </w:tabs>
        <w:numPr>
          <w:ilvl w:val="0"/>
          <w:numId w:val="1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more information on this and other non-GAAP financial measures, please see the section captioned “Use of Non-GAAP Financial Measures” and the tables captioned “Unaudited Reconciliations of Non-GAAP and GAAP Results” set forth at the end of this release.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85" w:name="page86"/>
    <w:bookmarkEnd w:id="8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Craig Yan Zeng, Chief Financial Officer of Autohome, added, “While advancing our business initiatives, we have consistently maintained a healthy balance sheet and continued to deliver on our commitment to providing stable shareholder returns. Our board of directors has approved the cash dividend plan for the first half of 2026, at the same time we have been actively executing share repurchases in the open market, with the total cumulative repurchases exceeding US$62 million as of last week. Looking ahead, we will continue to focus on areas of emerging growth while maintaining stringent cost controls to create long-term value for our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First Quarter 2026 Financial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revenues in the first quarter of 2026 were RMB1,048.4 million (US$152.0 million), compared to RMB1,453.8 million in the corresponding period of 2025. The decline was primarily driven by reduced advertising spending from automakers amid shrinking sales volumes, along with a decrease in the number of paying dealers — both of which adversely affected the Company’s related business lines.</w:t>
      </w:r>
    </w:p>
    <w:p>
      <w:pPr>
        <w:spacing w:after="0" w:line="77" w:lineRule="exact"/>
        <w:rPr>
          <w:sz w:val="20"/>
          <w:szCs w:val="20"/>
          <w:color w:val="auto"/>
        </w:rPr>
      </w:pPr>
    </w:p>
    <w:p>
      <w:pPr>
        <w:ind w:left="420" w:right="800" w:hanging="316"/>
        <w:spacing w:after="0" w:line="286" w:lineRule="auto"/>
        <w:tabs>
          <w:tab w:leader="none" w:pos="4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Media services </w:t>
      </w:r>
      <w:r>
        <w:rPr>
          <w:rFonts w:ascii="Times New Roman" w:cs="Times New Roman" w:eastAsia="Times New Roman" w:hAnsi="Times New Roman"/>
          <w:sz w:val="18"/>
          <w:szCs w:val="18"/>
          <w:color w:val="auto"/>
        </w:rPr>
        <w:t>revenues were RMB162.7 million (US$23.6 million) in the first quarter of 2026, compared to RMB242.2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of 2025.</w:t>
      </w:r>
    </w:p>
    <w:p>
      <w:pPr>
        <w:spacing w:after="0" w:line="60" w:lineRule="exact"/>
        <w:rPr>
          <w:rFonts w:ascii="Times New Roman" w:cs="Times New Roman" w:eastAsia="Times New Roman" w:hAnsi="Times New Roman"/>
          <w:sz w:val="18"/>
          <w:szCs w:val="18"/>
          <w:color w:val="auto"/>
        </w:rPr>
      </w:pPr>
    </w:p>
    <w:p>
      <w:pPr>
        <w:ind w:left="420" w:right="220" w:hanging="316"/>
        <w:spacing w:after="0" w:line="286" w:lineRule="auto"/>
        <w:tabs>
          <w:tab w:leader="none" w:pos="4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Leads generation services </w:t>
      </w:r>
      <w:r>
        <w:rPr>
          <w:rFonts w:ascii="Times New Roman" w:cs="Times New Roman" w:eastAsia="Times New Roman" w:hAnsi="Times New Roman"/>
          <w:sz w:val="18"/>
          <w:szCs w:val="18"/>
          <w:color w:val="auto"/>
        </w:rPr>
        <w:t>revenues were RMB503.5 million (US$73.0 million) in the first quarter of 2026, compared to RMB645.1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corresponding period of 2025.</w:t>
      </w:r>
    </w:p>
    <w:p>
      <w:pPr>
        <w:spacing w:after="0" w:line="60" w:lineRule="exact"/>
        <w:rPr>
          <w:rFonts w:ascii="Times New Roman" w:cs="Times New Roman" w:eastAsia="Times New Roman" w:hAnsi="Times New Roman"/>
          <w:sz w:val="18"/>
          <w:szCs w:val="18"/>
          <w:color w:val="auto"/>
        </w:rPr>
      </w:pPr>
    </w:p>
    <w:p>
      <w:pPr>
        <w:ind w:left="420" w:hanging="316"/>
        <w:spacing w:after="0" w:line="286" w:lineRule="auto"/>
        <w:tabs>
          <w:tab w:leader="none" w:pos="4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Online marketplace and others </w:t>
      </w:r>
      <w:r>
        <w:rPr>
          <w:rFonts w:ascii="Times New Roman" w:cs="Times New Roman" w:eastAsia="Times New Roman" w:hAnsi="Times New Roman"/>
          <w:sz w:val="18"/>
          <w:szCs w:val="18"/>
          <w:color w:val="auto"/>
        </w:rPr>
        <w:t>revenues were RMB382.3 million (US$55.4 million) in the first quarter of 2026, compared to RMB566.5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corresponding period of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Cost of revenues was RMB257.0 million (US$37.3 million) in the first quarter of 2026, compared to RMB315.5 million in the corresponding period of 2025. Share-based compensation expense included in cost of revenues in the first quarter of 2026 was RMB1.0 million (US$0.1 million), compared to RMB2.4 million in the corresponding period of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Operating expenses were RMB900.1 million (US$130.5 million) in the first quarter of 2026, compared to RMB948.8 million in the corresponding period of 2025.</w:t>
      </w:r>
    </w:p>
    <w:p>
      <w:pPr>
        <w:spacing w:after="0" w:line="63" w:lineRule="exact"/>
        <w:rPr>
          <w:sz w:val="20"/>
          <w:szCs w:val="20"/>
          <w:color w:val="auto"/>
        </w:rPr>
      </w:pPr>
    </w:p>
    <w:p>
      <w:pPr>
        <w:jc w:val="both"/>
        <w:ind w:left="420" w:right="340" w:hanging="316"/>
        <w:spacing w:after="0" w:line="268" w:lineRule="auto"/>
        <w:tabs>
          <w:tab w:leader="none" w:pos="4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w:t>
      </w:r>
      <w:r>
        <w:rPr>
          <w:rFonts w:ascii="Times New Roman" w:cs="Times New Roman" w:eastAsia="Times New Roman" w:hAnsi="Times New Roman"/>
          <w:sz w:val="18"/>
          <w:szCs w:val="18"/>
          <w:color w:val="auto"/>
        </w:rPr>
        <w:t>expenses were RMB506.3 million (US$73.4 million) in the first quarter of 2026, compared to RMB543.6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of 2025. Share-based compensation expenses included in sales and marketing expenses in the first quarter of 2026 were RMB9.2 million (US$1.3 million), compared to RMB12.3 million in the corresponding period of 2025.</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86" w:name="page87"/>
    <w:bookmarkEnd w:id="86"/>
    <w:p>
      <w:pPr>
        <w:jc w:val="both"/>
        <w:ind w:left="420" w:hanging="316"/>
        <w:spacing w:after="0" w:line="268" w:lineRule="auto"/>
        <w:tabs>
          <w:tab w:leader="none" w:pos="4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General and administrative </w:t>
      </w:r>
      <w:r>
        <w:rPr>
          <w:rFonts w:ascii="Times New Roman" w:cs="Times New Roman" w:eastAsia="Times New Roman" w:hAnsi="Times New Roman"/>
          <w:sz w:val="18"/>
          <w:szCs w:val="18"/>
          <w:color w:val="auto"/>
        </w:rPr>
        <w:t>expenses were RMB119.9 million (US$17.4 million) in the first quarter of 2026, compared to RMB131.0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corresponding period of 2025. Share-based compensation expenses included in general and administrative expenses in the first quarter of 2026 were RMB7.2 million (US$1.1 million), compared to RMB11.2 million in the corresponding period of 2025.</w:t>
      </w:r>
    </w:p>
    <w:p>
      <w:pPr>
        <w:spacing w:after="0" w:line="76" w:lineRule="exact"/>
        <w:rPr>
          <w:rFonts w:ascii="Times New Roman" w:cs="Times New Roman" w:eastAsia="Times New Roman" w:hAnsi="Times New Roman"/>
          <w:sz w:val="18"/>
          <w:szCs w:val="18"/>
          <w:color w:val="auto"/>
        </w:rPr>
      </w:pPr>
    </w:p>
    <w:p>
      <w:pPr>
        <w:jc w:val="both"/>
        <w:ind w:left="420" w:right="260" w:hanging="316"/>
        <w:spacing w:after="0" w:line="268" w:lineRule="auto"/>
        <w:tabs>
          <w:tab w:leader="none" w:pos="4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development </w:t>
      </w:r>
      <w:r>
        <w:rPr>
          <w:rFonts w:ascii="Times New Roman" w:cs="Times New Roman" w:eastAsia="Times New Roman" w:hAnsi="Times New Roman"/>
          <w:sz w:val="18"/>
          <w:szCs w:val="18"/>
          <w:color w:val="auto"/>
        </w:rPr>
        <w:t>expenses were RMB273.9 million (US$39.7 million) in the first quarter of 2026, compared to RMB274.1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of 2025. Share-based compensation expenses included in product development expenses in the first quarter of 2026 were RMB18.6 million (US$2.7 million), compared to RMB19.6 million in the corresponding period of 2025.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Loss/Profit</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Operating loss was RMB34.4 million (US$5.0 million) in the first quarter of 2026, compared to operating profit of RMB233.4 million in the corresponding period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Income tax expense was RMB25.2 million (US$3.7 million) in the first quarter of 2026, compared to income tax expense of RMB56.3 million in the corresponding period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Autohome</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Net income attributable to Autohome was RMB44.3 million (US$6.4 million) in the first quarter of 2026, compared to RMB356.6 million in the corresponding period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Ordinary Shareholders and Earnings per Share/ADS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income attributable to ordinary shareholders was RMB44.3 million (US$6.4 million) in the first quarter of 2026, compared to RMB340.5 million in the corresponding period of 2025. Basic and diluted earnings per share (“EPS”) were RMB0.10 (US$0.01) and RMB0.10 (US$0.01), respectively, in the first quarter of 2026, compared to basic and diluted EPS of RMB0.72 and RMB0.71, respectively, in the corresponding period of 2025. Basic and diluted earnings per ADS were RMB0.38 (US$0.06) and RMB0.38 (US$0.06), respectively, in the first quarter of 2026, compared to basic and diluted earnings per ADS of RMB2.86 and RMB2.85, respectively, in the corresponding period of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Autohome (Non-GAAP) and Non-GAAP EPS/ADS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Adjusted net income attributable to Autohome (Non-GAAP) was RMB179.2 million (US$26.0 million) in the first quarter of 2026, compared to RMB420.8 million in the corresponding period of 2025. Non-GAAP basic and diluted EPS were RMB0.39 (US$0.06) and RMB0.39 (US$0.06), respectively, in the first quarter of 2026, compared to non-GAAP basic and diluted EPS of RMB0.88 and RMB0.88, respectively, in the corresponding period of 2025. Non-GAAP basic and diluted earnings per ADS were RMB1.55 (US$0.22) and RMB1.54 (US$0.22), respectively, in the first quarter of 2026, compared to non-GAAP basic and diluted earnings per ADS of RMB3.54 and RMB3.52, respectively, in the corresponding period of 2025.</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Balance Sheet and Cash Flow</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short-term investments and other long-term investments of RMB20.04 billion (US$2.91 billion). Net cash used in operating activities in the first quarter of 2026 was RMB143.0 million (US$20.7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3,876 employees as of March 31, 2026, including 1,219 employees from TTP Car,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at 8:00 a.m. U.S. Eastern Time on Thursday, May 28, 2026 (8:00 p.m. Beijing Time on the same day).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register in advance of the conference call using the registration link provided below. Upon registering, each participant will receive a set of dial-in numbers and a personal PIN, which will be used to join the conference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https://register-conf.media-server.com/register/BI729eaeb6b356412fadcc85dd017f499e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use the conference access information to join the call 10 minutes before the call is scheduled to begin.</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at </w:t>
      </w:r>
      <w:r>
        <w:rPr>
          <w:rFonts w:ascii="Times New Roman" w:cs="Times New Roman" w:eastAsia="Times New Roman" w:hAnsi="Times New Roman"/>
          <w:sz w:val="18"/>
          <w:szCs w:val="18"/>
          <w:u w:val="single" w:color="auto"/>
          <w:color w:val="auto"/>
        </w:rPr>
        <w:t>https://ir.autohome.com.cn</w:t>
      </w:r>
      <w:r>
        <w:rPr>
          <w:rFonts w:ascii="Times New Roman" w:cs="Times New Roman" w:eastAsia="Times New Roman" w:hAnsi="Times New Roman"/>
          <w:sz w:val="18"/>
          <w:szCs w:val="18"/>
          <w:color w:val="auto"/>
        </w:rPr>
        <w:t xml:space="preserve"> and a replay of the webcast will be available following the session.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Autohome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Autohome Inc. (NYSE: ATHM; HKEX: 2518) is the leading online destination for automobile consumers in China. Its mission is to relentlessly reduce auto industry decision-making and transaction costs driven by advanced technology. Autohome provides occupationally generated content, professionally generated content, user-generated content, and AI-generated content, a comprehensive automobile library, and extensive automobile listing information to automobile consumers, covering the entire car purchase and ownership cycle. The ability to reach a large and engaged user base of automobile consumers has made Autohome a preferred platform for automakers and dealers to conduct their advertising campaigns. Further, the Company’s dealer subscription and advertising services allow dealers to market their inventory and services through Autohome’s platform, extending the reach of their physical showrooms to potentially millions of internet users in China and generating sales leads for them. The Company offers sales leads, data analysis, and marketing services to assist automakers and dealers with improving their efficiency and facilitating transactions. Further, through its websites and mobile applications, it also provides other value-added services, including auto financing, auto insurance, used car transactions, and aftermarket services. For further information, please visit </w:t>
      </w:r>
      <w:r>
        <w:rPr>
          <w:rFonts w:ascii="Times New Roman" w:cs="Times New Roman" w:eastAsia="Times New Roman" w:hAnsi="Times New Roman"/>
          <w:sz w:val="18"/>
          <w:szCs w:val="18"/>
          <w:u w:val="single" w:color="auto"/>
          <w:color w:val="auto"/>
        </w:rPr>
        <w:t>https://www.autohome.com.cn/</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“future”, “intends”, “plans”, “believes”, “estimates” and similar statements. Among other things, Autohome’s business outlook, Autohome’s strategic and operational plans and quotations from management in this announcement contain forward-looking statements. Autohome may also make written or oral forward- looking statements in its periodic reports to the Securities and Exchange Commission (“SEC”), in announcements made on the website of The Stock Exchange of Hong Kong Limited (the “Hong Kong Stock Exchange”), in its annual report to shareholders, in press releases and other written materials and in oral statements made by its officers, directors or employees to third parties. Statements that are not historical facts, including statements about Autohome’s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Autohome’s goals and strategies; Autohome’s future business development, results of operations and financial condition; the expected growth of the online automobile advertising market in China; Autohome’s ability to attract and retain users and advertisers and further enhance its brand recognition; Autohome’s expectations regarding demand for and market acceptance of its products and services; competition in the online automobile advertising industry; relevant government policies and regulatory environment of China; fluctuations in general economic and business conditions in China and assumptions underlying or related to any of the foregoing. Further information regarding these and other risks is included in Autohome’s filings with the SEC and announcements on the website of the Hong Kong Stock Exchange. All information provided in this press release is as of the date of this press release, and Autohome does not undertake any obligation to update any forward-looking statement, except as required under applicable law.</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supplement net income presented in accordance with U.S. GAAP, we use Adjusted Net Income attributable to Autohome, Non-GAAP basic and diluted EPS and earnings per ADS, Adjusted net margin and Adjusted EBITDA as non-GAAP financial measures. We define Adjusted Net Income attributable to Autohome as net income attributable to Autohome excluding share-based compensation expenses, amortization of intangible assets resulting from business acquisition, share of results of equity method investments, and non-recurring employee severance costs, with all the reconciliation items adjusted for related income tax effects. We define non-GAAP basic and diluted EPS as Adjusted Net Income attributable to Autohome divided by the basic and diluted weighted average number of ordinary shares. We define non-GAAP basic and diluted earnings per ADS as Adjusted Net Income attributable to Autohome divided by the basic and diluted weighted average number of ADSs. We define Adjusted net margin as Adjusted Net Income attributable to Autohome divided by total net revenues. We define Adjusted EBITDA as net income attributable to Autohome before income tax expense, depreciation expenses of property and equipment, amortization expenses of intangible assets and share-based compensation expenses. We present these non-GAAP financial measures because they are used by our management to evaluate our operating performance, in addition to net income prepared in accordance with U.S. GAAP. We believe these non-GAAP financial measures are important to help investors understand our operating and financial performance, compare business trends among different reporting periods on a consistent basis and assess our core operating results, as they exclude certain non-cash charges or items that are non-operating in nature. The use of the above non-GAAP financial measures has certain limitations as they excluded certain items that have been and will continue to be incurred in the future, but such items should be considered in the overall evaluation of our results. These non-GAAP financial measures should be considered in addition to financial measures prepared in accordance with GAAP, but should not be considered a substitute for, or superior to, financial measures prepared in accordance with GAAP. For more information on these non-GAAP financial measures, please see the table captioned “Unaudited Reconciliation of non-GAAP and GAAP Results” set fourth at the end of this press release.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 Song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Relations Director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+86-10-5985-7483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ir@autohome.com.cn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Christensen China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 Cheng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+86-185-0060-8364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suri.cheng@christensencomms.com</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19"/>
          </w:cols>
          <w:pgMar w:left="440" w:top="270" w:right="1440" w:bottom="1440" w:gutter="0" w:footer="0" w:header="0"/>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AUTOHOME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 in thousands, except share and per share / per ADS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35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three months ended March 31,</w:t>
            </w:r>
          </w:p>
        </w:tc>
      </w:tr>
      <w:tr>
        <w:trPr>
          <w:trHeight w:val="142"/>
        </w:trPr>
        <w:tc>
          <w:tcPr>
            <w:tcW w:w="74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480" w:type="dxa"/>
            <w:vAlign w:val="bottom"/>
          </w:tcPr>
          <w:p>
            <w:pPr>
              <w:spacing w:after="0"/>
              <w:rPr>
                <w:sz w:val="12"/>
                <w:szCs w:val="12"/>
                <w:color w:val="auto"/>
              </w:rPr>
            </w:pPr>
          </w:p>
        </w:tc>
        <w:tc>
          <w:tcPr>
            <w:tcW w:w="98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28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4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Media services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242,179</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162,683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23,584</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Leads generation services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645,143</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503,455</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Online marketplace and others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566,496</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382,301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55,422</w:t>
            </w:r>
          </w:p>
        </w:tc>
      </w:tr>
      <w:tr>
        <w:trPr>
          <w:trHeight w:val="27"/>
        </w:trPr>
        <w:tc>
          <w:tcPr>
            <w:tcW w:w="7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1,453,818</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1,048,439</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151,992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(315,520)</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(257,028)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(37,261)</w:t>
            </w:r>
          </w:p>
        </w:tc>
      </w:tr>
      <w:tr>
        <w:trPr>
          <w:trHeight w:val="27"/>
        </w:trPr>
        <w:tc>
          <w:tcPr>
            <w:tcW w:w="7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1,138,298</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791,411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114,731</w:t>
            </w: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(543,639)</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(506,349)</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(73,405)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(131,023)</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(119,859)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(17,376)</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(274,141)</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(273,860)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(39,701)</w:t>
            </w: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(948,803)</w:t>
            </w:r>
          </w:p>
        </w:tc>
        <w:tc>
          <w:tcPr>
            <w:tcW w:w="2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(900,068)</w:t>
            </w:r>
          </w:p>
        </w:tc>
        <w:tc>
          <w:tcPr>
            <w:tcW w:w="2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(130,482)</w:t>
            </w:r>
          </w:p>
        </w:tc>
        <w:tc>
          <w:tcPr>
            <w:tcW w:w="12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43,860</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74,250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10,764</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233,355</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(34,407)</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(4,987)</w:t>
            </w:r>
          </w:p>
        </w:tc>
      </w:tr>
      <w:tr>
        <w:trPr>
          <w:trHeight w:val="27"/>
        </w:trPr>
        <w:tc>
          <w:tcPr>
            <w:tcW w:w="7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177,071</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142,137</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20,606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Share of results of equity method investments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(11,636)</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(55,548)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(8,053)</w:t>
            </w:r>
          </w:p>
        </w:tc>
      </w:tr>
      <w:tr>
        <w:trPr>
          <w:trHeight w:val="27"/>
        </w:trPr>
        <w:tc>
          <w:tcPr>
            <w:tcW w:w="7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398,790</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52,182</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7,566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(56,329)</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(25,219)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(3,656)</w:t>
            </w:r>
          </w:p>
        </w:tc>
      </w:tr>
      <w:tr>
        <w:trPr>
          <w:trHeight w:val="27"/>
        </w:trPr>
        <w:tc>
          <w:tcPr>
            <w:tcW w:w="7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342,461</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26,963</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3,910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14,174</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17,288</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2,506</w:t>
            </w:r>
          </w:p>
        </w:tc>
      </w:tr>
      <w:tr>
        <w:trPr>
          <w:trHeight w:val="27"/>
        </w:trPr>
        <w:tc>
          <w:tcPr>
            <w:tcW w:w="7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Autohome</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356,635</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44,251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6,416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mezzanine equity</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(45,654)</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(49,433)</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(7,166)</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attributable to noncontrolling interests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29,469</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49,433</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7,166</w:t>
            </w: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ordinary shareholders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340,450</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44,251</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6,416</w:t>
            </w:r>
          </w:p>
        </w:tc>
        <w:tc>
          <w:tcPr>
            <w:tcW w:w="12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 attributable to ordinary shareholders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0.72</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0.71</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r>
      <w:tr>
        <w:trPr>
          <w:trHeight w:val="194"/>
        </w:trPr>
        <w:tc>
          <w:tcPr>
            <w:tcW w:w="7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per ADS attributable to ordinary shareholders (one ADS equals for four ordinary</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0.38</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0.38</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used to compute earnings per share attributable to ordinary shareholders:</w:t>
            </w: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475,483,227</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462,976,351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462,976,351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478,030,619</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464,566,955</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464,566,955</w:t>
            </w:r>
          </w:p>
        </w:tc>
      </w:tr>
      <w:tr>
        <w:trPr>
          <w:trHeight w:val="365"/>
        </w:trPr>
        <w:tc>
          <w:tcPr>
            <w:tcW w:w="748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AUTOHOME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RECONCILIATIONS OF NON-GAAP AND GAAP RESULTS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 in thousands, except per share / per ADS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370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three months ended March 31,</w:t>
            </w:r>
          </w:p>
        </w:tc>
      </w:tr>
      <w:tr>
        <w:trPr>
          <w:trHeight w:val="142"/>
        </w:trPr>
        <w:tc>
          <w:tcPr>
            <w:tcW w:w="73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96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1280" w:type="dxa"/>
            <w:vAlign w:val="bottom"/>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4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Autohome</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356,635</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44,251</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6,416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57,669</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25,556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depreciation of property and equipment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27,370</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3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7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451,295</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98,051</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14,215</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 expenses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45,490</w:t>
            </w:r>
          </w:p>
        </w:tc>
        <w:tc>
          <w:tcPr>
            <w:tcW w:w="3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36,029</w:t>
            </w:r>
          </w:p>
        </w:tc>
        <w:tc>
          <w:tcPr>
            <w:tcW w:w="3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2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496,785</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134,080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19,438</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Autohome</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356,635</w:t>
            </w: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44,251</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6,416</w:t>
            </w:r>
          </w:p>
        </w:tc>
        <w:tc>
          <w:tcPr>
            <w:tcW w:w="22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of intangible assets resulting from business acquisition</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9,583</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432</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 expenses</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45,490</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36,029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 of results of equity method investments</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11,636</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55,548</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Plus: Non-recurring employee severance costs</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61,794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tax effects of the adjustments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(2,574)</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(18,841)</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(2,731)</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Autohome</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420,770</w:t>
            </w:r>
          </w:p>
        </w:tc>
        <w:tc>
          <w:tcPr>
            <w:tcW w:w="3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179,213</w:t>
            </w:r>
          </w:p>
        </w:tc>
        <w:tc>
          <w:tcPr>
            <w:tcW w:w="3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25,982</w:t>
            </w:r>
          </w:p>
        </w:tc>
        <w:tc>
          <w:tcPr>
            <w:tcW w:w="2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Autohome</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356,635</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44,251</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6,416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margin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24.5%</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Autohome</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420,770</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179,213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25,982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net margin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28.9%</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17.1%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17.1%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earnings per share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0.88</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0.88</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0.39</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earnings per ADS (one ADS equals for four ordinary shares)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3.54</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3.52</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used to compute non-GAAP earnings per share: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475,483,227</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462,976,351</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462,976,351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478,030,619</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464,566,955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464,566,955</w:t>
            </w:r>
          </w:p>
        </w:tc>
      </w:tr>
      <w:tr>
        <w:trPr>
          <w:trHeight w:val="365"/>
        </w:trPr>
        <w:tc>
          <w:tcPr>
            <w:tcW w:w="732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AUTOHOME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CONDENSED CONSOLIDATED BALANCE SHEET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 in thousands, except as noted)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2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0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2,175,493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1,381,652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200,297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74,424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85,142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12,343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17,063,633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17,027,839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2,468,518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1,521,347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1,683,025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243,987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 current</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43,599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34,621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308,733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320,723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46,495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21,187,229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20,533,002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2,976,659</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4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191,063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205,342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29,768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3,995,489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3,992,803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578,835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Long-term equity investments</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442,017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386,469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56,026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2,124,783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1,634,544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236,959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262,622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270,872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39,268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 non-current</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90,612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149,197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21,629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7,121,295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6,653,936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964,618</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28,308,524</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27,186,938</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3,941,277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2,192,496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1,802,383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261,288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98,083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111,235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16,126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170,836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490,950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71,173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82,000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108,647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15,751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13,739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34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976,382</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3,533,536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2,518,248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365,068</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4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21,544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56,602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8,206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458,266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457,624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66,342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479,810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514,226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74,548</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4,013,346</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3,032,474</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439,616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3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redeemable noncontrolling interests</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2,121,191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2,170,624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314,674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Autohome shareholders’ equity</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23,041,328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22,917,938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3,322,403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(867,341)</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(934,098)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(135,416)</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22,173,987</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21,983,840</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3,186,987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equity</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28,308,524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27,186,938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3,941,277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6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abstractNum>
  <w:abstractNum w:abstractNumId="1">
    <w:nsid w:val="310C50B3"/>
    <w:multiLevelType w:val="hybridMultilevel"/>
    <w:lvl w:ilvl="0">
      <w:lvlJc w:val="left"/>
      <w:lvlText w:val="%1."/>
      <w:numFmt w:val="decimal"/>
      <w:start w:val="1"/>
    </w:lvl>
  </w:abstractNum>
  <w:abstractNum w:abstractNumId="2">
    <w:nsid w:val="5FF87E05"/>
    <w:multiLevelType w:val="hybridMultilevel"/>
    <w:lvl w:ilvl="0">
      <w:lvlJc w:val="left"/>
      <w:lvlText w:val="%1."/>
      <w:numFmt w:val="decimal"/>
      <w:start w:val="1"/>
    </w:lvl>
  </w:abstractNum>
  <w:abstractNum w:abstractNumId="3">
    <w:nsid w:val="2F305DE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
    <w:nsid w:val="25A70BF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
    <w:nsid w:val="1DBABF00"/>
    <w:multiLevelType w:val="hybridMultilevel"/>
    <w:lvl w:ilvl="0">
      <w:lvlJc w:val="left"/>
      <w:lvlText w:val="(%1)"/>
      <w:numFmt w:val="lowerLetter"/>
      <w:start w:val="4"/>
    </w:lvl>
  </w:abstractNum>
  <w:abstractNum w:abstractNumId="6">
    <w:nsid w:val="4AD084E9"/>
    <w:multiLevelType w:val="hybridMultilevel"/>
    <w:lvl w:ilvl="0">
      <w:lvlJc w:val="left"/>
      <w:lvlText w:val="(%1)"/>
      <w:numFmt w:val="lowerLetter"/>
      <w:start w:val="1"/>
    </w:lvl>
  </w:abstractNum>
  <w:abstractNum w:abstractNumId="7">
    <w:nsid w:val="1F48EAA1"/>
    <w:multiLevelType w:val="hybridMultilevel"/>
    <w:lvl w:ilvl="0">
      <w:lvlJc w:val="left"/>
      <w:lvlText w:val="%1."/>
      <w:numFmt w:val="decimal"/>
      <w:start w:val="5"/>
    </w:lvl>
  </w:abstractNum>
  <w:abstractNum w:abstractNumId="8">
    <w:nsid w:val="1381823A"/>
    <w:multiLevelType w:val="hybridMultilevel"/>
    <w:lvl w:ilvl="0">
      <w:lvlJc w:val="left"/>
      <w:lvlText w:val="(%1)"/>
      <w:numFmt w:val="decimal"/>
      <w:start w:val="2"/>
    </w:lvl>
  </w:abstractNum>
  <w:abstractNum w:abstractNumId="9">
    <w:nsid w:val="5DB70AE5"/>
    <w:multiLevelType w:val="hybridMultilevel"/>
    <w:lvl w:ilvl="0">
      <w:lvlJc w:val="left"/>
      <w:lvlText w:val="%1."/>
      <w:numFmt w:val="decimal"/>
      <w:start w:val="9"/>
    </w:lvl>
    <w:lvl w:ilvl="1">
      <w:lvlJc w:val="left"/>
      <w:lvlText w:val="(%2)"/>
      <w:numFmt w:val="lowerLetter"/>
      <w:start w:val="1"/>
    </w:lvl>
  </w:abstractNum>
  <w:abstractNum w:abstractNumId="10">
    <w:nsid w:val="100F8FCA"/>
    <w:multiLevelType w:val="hybridMultilevel"/>
    <w:lvl w:ilvl="0">
      <w:lvlJc w:val="left"/>
      <w:lvlText w:val="%1"/>
      <w:numFmt w:val="decimal"/>
      <w:start w:val="1"/>
    </w:lvl>
    <w:lvl w:ilvl="1">
      <w:lvlJc w:val="left"/>
      <w:lvlText w:val="(%2)"/>
      <w:numFmt w:val="decimal"/>
      <w:start w:val="2"/>
    </w:lvl>
  </w:abstractNum>
  <w:abstractNum w:abstractNumId="11">
    <w:nsid w:val="6590700B"/>
    <w:multiLevelType w:val="hybridMultilevel"/>
    <w:lvl w:ilvl="0">
      <w:lvlJc w:val="left"/>
      <w:lvlText w:val="%1."/>
      <w:numFmt w:val="decimal"/>
      <w:start w:val="12"/>
    </w:lvl>
    <w:lvl w:ilvl="1">
      <w:lvlJc w:val="left"/>
      <w:lvlText w:val="%2"/>
      <w:numFmt w:val="decimal"/>
      <w:start w:val="1"/>
    </w:lvl>
  </w:abstractNum>
  <w:abstractNum w:abstractNumId="12">
    <w:nsid w:val="15014ACB"/>
    <w:multiLevelType w:val="hybridMultilevel"/>
    <w:lvl w:ilvl="0">
      <w:lvlJc w:val="left"/>
      <w:lvlText w:val="%1."/>
      <w:numFmt w:val="decimal"/>
      <w:start w:val="15"/>
    </w:lvl>
  </w:abstractNum>
  <w:abstractNum w:abstractNumId="13">
    <w:nsid w:val="5F5E7FD0"/>
    <w:multiLevelType w:val="hybridMultilevel"/>
    <w:lvl w:ilvl="0">
      <w:lvlJc w:val="left"/>
      <w:lvlText w:val="%1"/>
      <w:numFmt w:val="decimal"/>
      <w:start w:val="1"/>
    </w:lvl>
    <w:lvl w:ilvl="1">
      <w:lvlJc w:val="left"/>
      <w:lvlText w:val="(%2)"/>
      <w:numFmt w:val="decimal"/>
      <w:start w:val="2"/>
    </w:lvl>
  </w:abstractNum>
  <w:abstractNum w:abstractNumId="14">
    <w:nsid w:val="98A3148"/>
    <w:multiLevelType w:val="hybridMultilevel"/>
    <w:lvl w:ilvl="0">
      <w:lvlJc w:val="left"/>
      <w:lvlText w:val="%1."/>
      <w:numFmt w:val="decimal"/>
      <w:start w:val="17"/>
    </w:lvl>
    <w:lvl w:ilvl="1">
      <w:lvlJc w:val="left"/>
      <w:lvlText w:val="%2"/>
      <w:numFmt w:val="decimal"/>
      <w:start w:val="1"/>
    </w:lvl>
  </w:abstractNum>
  <w:abstractNum w:abstractNumId="15">
    <w:nsid w:val="799D0247"/>
    <w:multiLevelType w:val="hybridMultilevel"/>
    <w:lvl w:ilvl="0">
      <w:lvlJc w:val="left"/>
      <w:lvlText w:val="(%1)"/>
      <w:numFmt w:val="decimal"/>
      <w:start w:val="2"/>
    </w:lvl>
  </w:abstractNum>
  <w:abstractNum w:abstractNumId="16">
    <w:nsid w:val="6B94764"/>
    <w:multiLevelType w:val="hybridMultilevel"/>
    <w:lvl w:ilvl="0">
      <w:lvlJc w:val="left"/>
      <w:lvlText w:val="%1."/>
      <w:numFmt w:val="decimal"/>
      <w:start w:val="20"/>
    </w:lvl>
  </w:abstractNum>
  <w:abstractNum w:abstractNumId="17">
    <w:nsid w:val="42C296BD"/>
    <w:multiLevelType w:val="hybridMultilevel"/>
    <w:lvl w:ilvl="0">
      <w:lvlJc w:val="left"/>
      <w:lvlText w:val="%1."/>
      <w:numFmt w:val="decimal"/>
      <w:start w:val="21"/>
    </w:lvl>
  </w:abstractNum>
  <w:abstractNum w:abstractNumId="18">
    <w:nsid w:val="168E121F"/>
    <w:multiLevelType w:val="hybridMultilevel"/>
    <w:lvl w:ilvl="0">
      <w:lvlJc w:val="left"/>
      <w:lvlText w:val="%1."/>
      <w:numFmt w:val="decimal"/>
      <w:start w:val="24"/>
    </w:lvl>
  </w:abstractNum>
  <w:abstractNum w:abstractNumId="19">
    <w:nsid w:val="1EBA5D23"/>
    <w:multiLevelType w:val="hybridMultilevel"/>
    <w:lvl w:ilvl="0">
      <w:lvlJc w:val="left"/>
      <w:lvlText w:val="%1."/>
      <w:numFmt w:val="decimal"/>
      <w:start w:val="31"/>
    </w:lvl>
  </w:abstractNum>
  <w:abstractNum w:abstractNumId="20">
    <w:nsid w:val="661E3F1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5DC79EA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2">
    <w:nsid w:val="540A471C"/>
    <w:multiLevelType w:val="hybridMultilevel"/>
    <w:lvl w:ilvl="0">
      <w:lvlJc w:val="left"/>
      <w:lvlText w:val="%1."/>
      <w:numFmt w:val="decimal"/>
      <w:start w:val="34"/>
    </w:lvl>
    <w:lvl w:ilvl="1">
      <w:lvlJc w:val="left"/>
      <w:lvlText w:val="%2"/>
      <w:numFmt w:val="decimal"/>
      <w:start w:val="1"/>
    </w:lvl>
    <w:lvl w:ilvl="2">
      <w:lvlJc w:val="left"/>
      <w:lvlText w:val="%3"/>
      <w:numFmt w:val="lowerLetter"/>
      <w:start w:val="1"/>
    </w:lvl>
  </w:abstractNum>
  <w:abstractNum w:abstractNumId="23">
    <w:nsid w:val="7BD3EE7B"/>
    <w:multiLevelType w:val="hybridMultilevel"/>
    <w:lvl w:ilvl="0">
      <w:lvlJc w:val="left"/>
      <w:lvlText w:val="%1."/>
      <w:numFmt w:val="decimal"/>
      <w:start w:val="37"/>
    </w:lvl>
  </w:abstractNum>
  <w:abstractNum w:abstractNumId="24">
    <w:nsid w:val="51D9C5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
    <w:nsid w:val="613EFDC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6">
    <w:nsid w:val="BF72B14"/>
    <w:multiLevelType w:val="hybridMultilevel"/>
    <w:lvl w:ilvl="0">
      <w:lvlJc w:val="left"/>
      <w:lvlText w:val="%1."/>
      <w:numFmt w:val="decimal"/>
      <w:start w:val="43"/>
    </w:lvl>
    <w:lvl w:ilvl="1">
      <w:lvlJc w:val="left"/>
      <w:lvlText w:val="%2"/>
      <w:numFmt w:val="decimal"/>
      <w:start w:val="1"/>
    </w:lvl>
    <w:lvl w:ilvl="2">
      <w:lvlJc w:val="left"/>
      <w:lvlText w:val="%3"/>
      <w:numFmt w:val="lowerLetter"/>
      <w:start w:val="1"/>
    </w:lvl>
  </w:abstractNum>
  <w:abstractNum w:abstractNumId="27">
    <w:nsid w:val="11447B73"/>
    <w:multiLevelType w:val="hybridMultilevel"/>
    <w:lvl w:ilvl="0">
      <w:lvlJc w:val="left"/>
      <w:lvlText w:val="%1."/>
      <w:numFmt w:val="decimal"/>
      <w:start w:val="44"/>
    </w:lvl>
  </w:abstractNum>
  <w:abstractNum w:abstractNumId="28">
    <w:nsid w:val="42963E5A"/>
    <w:multiLevelType w:val="hybridMultilevel"/>
    <w:lvl w:ilvl="0">
      <w:lvlJc w:val="left"/>
      <w:lvlText w:val="%1."/>
      <w:numFmt w:val="decimal"/>
      <w:start w:val="45"/>
    </w:lvl>
  </w:abstractNum>
  <w:abstractNum w:abstractNumId="29">
    <w:nsid w:val="A0382C5"/>
    <w:multiLevelType w:val="hybridMultilevel"/>
    <w:lvl w:ilvl="0">
      <w:lvlJc w:val="left"/>
      <w:lvlText w:val="(%1)"/>
      <w:numFmt w:val="decimal"/>
      <w:start w:val="2"/>
    </w:lvl>
  </w:abstractNum>
  <w:abstractNum w:abstractNumId="30">
    <w:nsid w:val="8F2B15E"/>
    <w:multiLevelType w:val="hybridMultilevel"/>
    <w:lvl w:ilvl="0">
      <w:lvlJc w:val="left"/>
      <w:lvlText w:val="%1."/>
      <w:numFmt w:val="decimal"/>
      <w:start w:val="48"/>
    </w:lvl>
    <w:lvl w:ilvl="1">
      <w:lvlJc w:val="left"/>
      <w:lvlText w:val="(%2)"/>
      <w:numFmt w:val="lowerLetter"/>
      <w:start w:val="1"/>
    </w:lvl>
  </w:abstractNum>
  <w:abstractNum w:abstractNumId="31">
    <w:nsid w:val="1A32234B"/>
    <w:multiLevelType w:val="hybridMultilevel"/>
    <w:lvl w:ilvl="0">
      <w:lvlJc w:val="left"/>
      <w:lvlText w:val="%1."/>
      <w:numFmt w:val="decimal"/>
      <w:start w:val="51"/>
    </w:lvl>
  </w:abstractNum>
  <w:abstractNum w:abstractNumId="32">
    <w:nsid w:val="3B0FD379"/>
    <w:multiLevelType w:val="hybridMultilevel"/>
    <w:lvl w:ilvl="0">
      <w:lvlJc w:val="left"/>
      <w:lvlText w:val="%1."/>
      <w:numFmt w:val="decimal"/>
      <w:start w:val="53"/>
    </w:lvl>
  </w:abstractNum>
  <w:abstractNum w:abstractNumId="33">
    <w:nsid w:val="68EB2F63"/>
    <w:multiLevelType w:val="hybridMultilevel"/>
    <w:lvl w:ilvl="0">
      <w:lvlJc w:val="left"/>
      <w:lvlText w:val="(%1)"/>
      <w:numFmt w:val="decimal"/>
      <w:start w:val="2"/>
    </w:lvl>
    <w:lvl w:ilvl="1">
      <w:lvlJc w:val="left"/>
      <w:lvlText w:val="(%2)"/>
      <w:numFmt w:val="lowerLetter"/>
      <w:start w:val="1"/>
    </w:lvl>
  </w:abstractNum>
  <w:abstractNum w:abstractNumId="34">
    <w:nsid w:val="4962813B"/>
    <w:multiLevelType w:val="hybridMultilevel"/>
    <w:lvl w:ilvl="0">
      <w:lvlJc w:val="left"/>
      <w:lvlText w:val="(%1)"/>
      <w:numFmt w:val="decimal"/>
      <w:start w:val="3"/>
    </w:lvl>
  </w:abstractNum>
  <w:abstractNum w:abstractNumId="35">
    <w:nsid w:val="60B6DF70"/>
    <w:multiLevelType w:val="hybridMultilevel"/>
    <w:lvl w:ilvl="0">
      <w:lvlJc w:val="left"/>
      <w:lvlText w:val="%1."/>
      <w:numFmt w:val="decimal"/>
      <w:start w:val="55"/>
    </w:lvl>
  </w:abstractNum>
  <w:abstractNum w:abstractNumId="36">
    <w:nsid w:val="6A5EE64"/>
    <w:multiLevelType w:val="hybridMultilevel"/>
    <w:lvl w:ilvl="0">
      <w:lvlJc w:val="left"/>
      <w:lvlText w:val="(%1)"/>
      <w:numFmt w:val="decimal"/>
      <w:start w:val="2"/>
    </w:lvl>
  </w:abstractNum>
  <w:abstractNum w:abstractNumId="37">
    <w:nsid w:val="14330624"/>
    <w:multiLevelType w:val="hybridMultilevel"/>
    <w:lvl w:ilvl="0">
      <w:lvlJc w:val="left"/>
      <w:lvlText w:val="(%1)"/>
      <w:numFmt w:val="decimal"/>
      <w:start w:val="3"/>
    </w:lvl>
  </w:abstractNum>
  <w:abstractNum w:abstractNumId="38">
    <w:nsid w:val="7FFFCA1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9">
    <w:nsid w:val="1A27709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40">
    <w:nsid w:val="71EA1109"/>
    <w:multiLevelType w:val="hybridMultilevel"/>
    <w:lvl w:ilvl="0">
      <w:lvlJc w:val="left"/>
      <w:lvlText w:val="%1."/>
      <w:numFmt w:val="decimal"/>
      <w:start w:val="59"/>
    </w:lvl>
    <w:lvl w:ilvl="1">
      <w:lvlJc w:val="left"/>
      <w:lvlText w:val="%2"/>
      <w:numFmt w:val="decimal"/>
      <w:start w:val="1"/>
    </w:lvl>
    <w:lvl w:ilvl="2">
      <w:lvlJc w:val="left"/>
      <w:lvlText w:val="%3"/>
      <w:numFmt w:val="lowerLetter"/>
      <w:start w:val="1"/>
    </w:lvl>
  </w:abstractNum>
  <w:abstractNum w:abstractNumId="41">
    <w:nsid w:val="100F59DC"/>
    <w:multiLevelType w:val="hybridMultilevel"/>
    <w:lvl w:ilvl="0">
      <w:lvlJc w:val="left"/>
      <w:lvlText w:val="%1."/>
      <w:numFmt w:val="decimal"/>
      <w:start w:val="60"/>
    </w:lvl>
  </w:abstractNum>
  <w:abstractNum w:abstractNumId="42">
    <w:nsid w:val="7FB7E0AA"/>
    <w:multiLevelType w:val="hybridMultilevel"/>
    <w:lvl w:ilvl="0">
      <w:lvlJc w:val="left"/>
      <w:lvlText w:val="%1."/>
      <w:numFmt w:val="decimal"/>
      <w:start w:val="61"/>
    </w:lvl>
  </w:abstractNum>
  <w:abstractNum w:abstractNumId="43">
    <w:nsid w:val="6EB5BD4"/>
    <w:multiLevelType w:val="hybridMultilevel"/>
    <w:lvl w:ilvl="0">
      <w:lvlJc w:val="left"/>
      <w:lvlText w:val="(%1)"/>
      <w:numFmt w:val="decimal"/>
      <w:start w:val="1"/>
    </w:lvl>
  </w:abstractNum>
  <w:abstractNum w:abstractNumId="44">
    <w:nsid w:val="6F6DD9AC"/>
    <w:multiLevelType w:val="hybridMultilevel"/>
    <w:lvl w:ilvl="0">
      <w:lvlJc w:val="left"/>
      <w:lvlText w:val="%1"/>
      <w:numFmt w:val="decimal"/>
      <w:start w:val="1"/>
    </w:lvl>
    <w:lvl w:ilvl="1">
      <w:lvlJc w:val="left"/>
      <w:lvlText w:val="(%2)"/>
      <w:numFmt w:val="decimal"/>
      <w:start w:val="2"/>
    </w:lvl>
  </w:abstractNum>
  <w:abstractNum w:abstractNumId="45">
    <w:nsid w:val="94211F2"/>
    <w:multiLevelType w:val="hybridMultilevel"/>
    <w:lvl w:ilvl="0">
      <w:lvlJc w:val="left"/>
      <w:lvlText w:val="%1."/>
      <w:numFmt w:val="decimal"/>
      <w:start w:val="66"/>
    </w:lvl>
    <w:lvl w:ilvl="1">
      <w:lvlJc w:val="left"/>
      <w:lvlText w:val="%2"/>
      <w:numFmt w:val="decimal"/>
      <w:start w:val="1"/>
    </w:lvl>
  </w:abstractNum>
  <w:abstractNum w:abstractNumId="46">
    <w:nsid w:val="885E1B"/>
    <w:multiLevelType w:val="hybridMultilevel"/>
    <w:lvl w:ilvl="0">
      <w:lvlJc w:val="left"/>
      <w:lvlText w:val="%1."/>
      <w:numFmt w:val="decimal"/>
      <w:start w:val="70"/>
    </w:lvl>
  </w:abstractNum>
  <w:abstractNum w:abstractNumId="47">
    <w:nsid w:val="76272110"/>
    <w:multiLevelType w:val="hybridMultilevel"/>
    <w:lvl w:ilvl="0">
      <w:lvlJc w:val="left"/>
      <w:lvlText w:val="%1"/>
      <w:numFmt w:val="decimal"/>
      <w:start w:val="1"/>
    </w:lvl>
    <w:lvl w:ilvl="1">
      <w:lvlJc w:val="left"/>
      <w:lvlText w:val="(%2)"/>
      <w:numFmt w:val="decimal"/>
      <w:start w:val="2"/>
    </w:lvl>
  </w:abstractNum>
  <w:abstractNum w:abstractNumId="48">
    <w:nsid w:val="4C04A8AF"/>
    <w:multiLevelType w:val="hybridMultilevel"/>
    <w:lvl w:ilvl="0">
      <w:lvlJc w:val="left"/>
      <w:lvlText w:val="%1."/>
      <w:numFmt w:val="decimal"/>
      <w:start w:val="75"/>
    </w:lvl>
    <w:lvl w:ilvl="1">
      <w:lvlJc w:val="left"/>
      <w:lvlText w:val="%2"/>
      <w:numFmt w:val="decimal"/>
      <w:start w:val="1"/>
    </w:lvl>
  </w:abstractNum>
  <w:abstractNum w:abstractNumId="49">
    <w:nsid w:val="1716703B"/>
    <w:multiLevelType w:val="hybridMultilevel"/>
    <w:lvl w:ilvl="0">
      <w:lvlJc w:val="left"/>
      <w:lvlText w:val="%1."/>
      <w:numFmt w:val="decimal"/>
      <w:start w:val="76"/>
    </w:lvl>
    <w:lvl w:ilvl="1">
      <w:lvlJc w:val="left"/>
      <w:lvlText w:val="(%2)"/>
      <w:numFmt w:val="lowerLetter"/>
      <w:start w:val="1"/>
    </w:lvl>
  </w:abstractNum>
  <w:abstractNum w:abstractNumId="50">
    <w:nsid w:val="14E17E33"/>
    <w:multiLevelType w:val="hybridMultilevel"/>
    <w:lvl w:ilvl="0">
      <w:lvlJc w:val="left"/>
      <w:lvlText w:val="%1."/>
      <w:numFmt w:val="decimal"/>
      <w:start w:val="77"/>
    </w:lvl>
  </w:abstractNum>
  <w:abstractNum w:abstractNumId="51">
    <w:nsid w:val="3222E7CD"/>
    <w:multiLevelType w:val="hybridMultilevel"/>
    <w:lvl w:ilvl="0">
      <w:lvlJc w:val="left"/>
      <w:lvlText w:val="%1."/>
      <w:numFmt w:val="decimal"/>
      <w:start w:val="80"/>
    </w:lvl>
  </w:abstractNum>
  <w:abstractNum w:abstractNumId="52">
    <w:nsid w:val="74DE0EE3"/>
    <w:multiLevelType w:val="hybridMultilevel"/>
    <w:lvl w:ilvl="0">
      <w:lvlJc w:val="left"/>
      <w:lvlText w:val="(%1)"/>
      <w:numFmt w:val="decimal"/>
      <w:start w:val="2"/>
    </w:lvl>
  </w:abstractNum>
  <w:abstractNum w:abstractNumId="53">
    <w:nsid w:val="68EBC550"/>
    <w:multiLevelType w:val="hybridMultilevel"/>
    <w:lvl w:ilvl="0">
      <w:lvlJc w:val="left"/>
      <w:lvlText w:val="(%1)"/>
      <w:numFmt w:val="decimal"/>
      <w:start w:val="3"/>
    </w:lvl>
  </w:abstractNum>
  <w:abstractNum w:abstractNumId="54">
    <w:nsid w:val="2DF6D648"/>
    <w:multiLevelType w:val="hybridMultilevel"/>
    <w:lvl w:ilvl="0">
      <w:lvlJc w:val="left"/>
      <w:lvlText w:val="%1."/>
      <w:numFmt w:val="decimal"/>
      <w:start w:val="84"/>
    </w:lvl>
  </w:abstractNum>
  <w:abstractNum w:abstractNumId="55">
    <w:nsid w:val="46B7D447"/>
    <w:multiLevelType w:val="hybridMultilevel"/>
    <w:lvl w:ilvl="0">
      <w:lvlJc w:val="left"/>
      <w:lvlText w:val="%1."/>
      <w:numFmt w:val="decimal"/>
      <w:start w:val="85"/>
    </w:lvl>
  </w:abstractNum>
  <w:abstractNum w:abstractNumId="56">
    <w:nsid w:val="4A2AC315"/>
    <w:multiLevelType w:val="hybridMultilevel"/>
    <w:lvl w:ilvl="0">
      <w:lvlJc w:val="left"/>
      <w:lvlText w:val="(%1)"/>
      <w:numFmt w:val="decimal"/>
      <w:start w:val="2"/>
    </w:lvl>
  </w:abstractNum>
  <w:abstractNum w:abstractNumId="57">
    <w:nsid w:val="39EE015C"/>
    <w:multiLevelType w:val="hybridMultilevel"/>
    <w:lvl w:ilvl="0">
      <w:lvlJc w:val="left"/>
      <w:lvlText w:val="(%1)"/>
      <w:numFmt w:val="decimal"/>
      <w:start w:val="5"/>
    </w:lvl>
  </w:abstractNum>
  <w:abstractNum w:abstractNumId="58">
    <w:nsid w:val="57FC4FBB"/>
    <w:multiLevelType w:val="hybridMultilevel"/>
    <w:lvl w:ilvl="0">
      <w:lvlJc w:val="left"/>
      <w:lvlText w:val="%1."/>
      <w:numFmt w:val="decimal"/>
      <w:start w:val="87"/>
    </w:lvl>
    <w:lvl w:ilvl="1">
      <w:lvlJc w:val="left"/>
      <w:lvlText w:val="(%2)"/>
      <w:numFmt w:val="decimal"/>
      <w:start w:val="1"/>
    </w:lvl>
  </w:abstractNum>
  <w:abstractNum w:abstractNumId="59">
    <w:nsid w:val="CC1016F"/>
    <w:multiLevelType w:val="hybridMultilevel"/>
    <w:lvl w:ilvl="0">
      <w:lvlJc w:val="left"/>
      <w:lvlText w:val="%1."/>
      <w:numFmt w:val="decimal"/>
      <w:start w:val="88"/>
    </w:lvl>
  </w:abstractNum>
  <w:abstractNum w:abstractNumId="60">
    <w:nsid w:val="43F18422"/>
    <w:multiLevelType w:val="hybridMultilevel"/>
    <w:lvl w:ilvl="0">
      <w:lvlJc w:val="left"/>
      <w:lvlText w:val="%1."/>
      <w:numFmt w:val="decimal"/>
      <w:start w:val="90"/>
    </w:lvl>
  </w:abstractNum>
  <w:abstractNum w:abstractNumId="61">
    <w:nsid w:val="60EF0119"/>
    <w:multiLevelType w:val="hybridMultilevel"/>
    <w:lvl w:ilvl="0">
      <w:lvlJc w:val="left"/>
      <w:lvlText w:val="%1."/>
      <w:numFmt w:val="decimal"/>
      <w:start w:val="94"/>
    </w:lvl>
  </w:abstractNum>
  <w:abstractNum w:abstractNumId="62">
    <w:nsid w:val="26F324BA"/>
    <w:multiLevelType w:val="hybridMultilevel"/>
    <w:lvl w:ilvl="0">
      <w:lvlJc w:val="left"/>
      <w:lvlText w:val="%1."/>
      <w:numFmt w:val="decimal"/>
      <w:start w:val="98"/>
    </w:lvl>
    <w:lvl w:ilvl="1">
      <w:lvlJc w:val="left"/>
      <w:lvlText w:val="(%2)"/>
      <w:numFmt w:val="lowerLetter"/>
      <w:start w:val="1"/>
    </w:lvl>
  </w:abstractNum>
  <w:abstractNum w:abstractNumId="63">
    <w:nsid w:val="7F01579B"/>
    <w:multiLevelType w:val="hybridMultilevel"/>
    <w:lvl w:ilvl="0">
      <w:lvlJc w:val="left"/>
      <w:lvlText w:val="%1."/>
      <w:numFmt w:val="decimal"/>
      <w:start w:val="99"/>
    </w:lvl>
    <w:lvl w:ilvl="1">
      <w:lvlJc w:val="left"/>
      <w:lvlText w:val="(%2)"/>
      <w:numFmt w:val="lowerLetter"/>
      <w:start w:val="1"/>
    </w:lvl>
  </w:abstractNum>
  <w:abstractNum w:abstractNumId="64">
    <w:nsid w:val="49DA307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65">
    <w:nsid w:val="7055A5F5"/>
    <w:multiLevelType w:val="hybridMultilevel"/>
    <w:lvl w:ilvl="0">
      <w:lvlJc w:val="left"/>
      <w:lvlText w:val="%1."/>
      <w:numFmt w:val="decimal"/>
      <w:start w:val="103"/>
    </w:lvl>
    <w:lvl w:ilvl="1">
      <w:lvlJc w:val="left"/>
      <w:lvlText w:val="%2"/>
      <w:numFmt w:val="decimal"/>
      <w:start w:val="1"/>
    </w:lvl>
    <w:lvl w:ilvl="2">
      <w:lvlJc w:val="left"/>
      <w:lvlText w:val="%3"/>
      <w:numFmt w:val="lowerLetter"/>
      <w:start w:val="1"/>
    </w:lvl>
  </w:abstractNum>
  <w:abstractNum w:abstractNumId="66">
    <w:nsid w:val="5FB8370B"/>
    <w:multiLevelType w:val="hybridMultilevel"/>
    <w:lvl w:ilvl="0">
      <w:lvlJc w:val="left"/>
      <w:lvlText w:val="%1."/>
      <w:numFmt w:val="decimal"/>
      <w:start w:val="104"/>
    </w:lvl>
  </w:abstractNum>
  <w:abstractNum w:abstractNumId="67">
    <w:nsid w:val="50801EE1"/>
    <w:multiLevelType w:val="hybridMultilevel"/>
    <w:lvl w:ilvl="0">
      <w:lvlJc w:val="left"/>
      <w:lvlText w:val="(%1)"/>
      <w:numFmt w:val="decimal"/>
      <w:start w:val="2"/>
    </w:lvl>
  </w:abstractNum>
  <w:abstractNum w:abstractNumId="68">
    <w:nsid w:val="488AC1A"/>
    <w:multiLevelType w:val="hybridMultilevel"/>
    <w:lvl w:ilvl="0">
      <w:lvlJc w:val="left"/>
      <w:lvlText w:val="%1."/>
      <w:numFmt w:val="decimal"/>
      <w:start w:val="108"/>
    </w:lvl>
  </w:abstractNum>
  <w:abstractNum w:abstractNumId="69">
    <w:nsid w:val="5FB8011C"/>
    <w:multiLevelType w:val="hybridMultilevel"/>
    <w:lvl w:ilvl="0">
      <w:lvlJc w:val="left"/>
      <w:lvlText w:val="(%1)"/>
      <w:numFmt w:val="decimal"/>
      <w:start w:val="2"/>
    </w:lvl>
  </w:abstractNum>
  <w:abstractNum w:abstractNumId="70">
    <w:nsid w:val="6AA78F7F"/>
    <w:multiLevelType w:val="hybridMultilevel"/>
    <w:lvl w:ilvl="0">
      <w:lvlJc w:val="left"/>
      <w:lvlText w:val="%1."/>
      <w:numFmt w:val="decimal"/>
      <w:start w:val="112"/>
    </w:lvl>
  </w:abstractNum>
  <w:abstractNum w:abstractNumId="71">
    <w:nsid w:val="7672BD23"/>
    <w:multiLevelType w:val="hybridMultilevel"/>
    <w:lvl w:ilvl="0">
      <w:lvlJc w:val="left"/>
      <w:lvlText w:val="%1."/>
      <w:numFmt w:val="decimal"/>
      <w:start w:val="113"/>
    </w:lvl>
    <w:lvl w:ilvl="1">
      <w:lvlJc w:val="left"/>
      <w:lvlText w:val="(%2)"/>
      <w:numFmt w:val="decimal"/>
      <w:start w:val="1"/>
    </w:lvl>
  </w:abstractNum>
  <w:abstractNum w:abstractNumId="72">
    <w:nsid w:val="6FC75AF8"/>
    <w:multiLevelType w:val="hybridMultilevel"/>
    <w:lvl w:ilvl="0">
      <w:lvlJc w:val="left"/>
      <w:lvlText w:val="%1"/>
      <w:numFmt w:val="decimal"/>
      <w:start w:val="1"/>
    </w:lvl>
    <w:lvl w:ilvl="1">
      <w:lvlJc w:val="left"/>
      <w:lvlText w:val="(%2)"/>
      <w:numFmt w:val="decimal"/>
      <w:start w:val="2"/>
    </w:lvl>
  </w:abstractNum>
  <w:abstractNum w:abstractNumId="73">
    <w:nsid w:val="6A5F7029"/>
    <w:multiLevelType w:val="hybridMultilevel"/>
    <w:lvl w:ilvl="0">
      <w:lvlJc w:val="left"/>
      <w:lvlText w:val="%1."/>
      <w:numFmt w:val="decimal"/>
      <w:start w:val="118"/>
    </w:lvl>
    <w:lvl w:ilvl="1">
      <w:lvlJc w:val="left"/>
      <w:lvlText w:val="%2"/>
      <w:numFmt w:val="decimal"/>
      <w:start w:val="1"/>
    </w:lvl>
  </w:abstractNum>
  <w:abstractNum w:abstractNumId="74">
    <w:nsid w:val="7D5E18F8"/>
    <w:multiLevelType w:val="hybridMultilevel"/>
    <w:lvl w:ilvl="0">
      <w:lvlJc w:val="left"/>
      <w:lvlText w:val="%1."/>
      <w:numFmt w:val="decimal"/>
      <w:start w:val="121"/>
    </w:lvl>
  </w:abstractNum>
  <w:abstractNum w:abstractNumId="75">
    <w:nsid w:val="5F3534A4"/>
    <w:multiLevelType w:val="hybridMultilevel"/>
    <w:lvl w:ilvl="0">
      <w:lvlJc w:val="left"/>
      <w:lvlText w:val="(%1)"/>
      <w:numFmt w:val="decimal"/>
      <w:start w:val="2"/>
    </w:lvl>
  </w:abstractNum>
  <w:abstractNum w:abstractNumId="76">
    <w:nsid w:val="73A1821B"/>
    <w:multiLevelType w:val="hybridMultilevel"/>
    <w:lvl w:ilvl="0">
      <w:lvlJc w:val="left"/>
      <w:lvlText w:val="%1."/>
      <w:numFmt w:val="decimal"/>
      <w:start w:val="123"/>
    </w:lvl>
  </w:abstractNum>
  <w:abstractNum w:abstractNumId="77">
    <w:nsid w:val="7DE67713"/>
    <w:multiLevelType w:val="hybridMultilevel"/>
    <w:lvl w:ilvl="0">
      <w:lvlJc w:val="left"/>
      <w:lvlText w:val="(%1)"/>
      <w:numFmt w:val="decimal"/>
      <w:start w:val="2"/>
    </w:lvl>
  </w:abstractNum>
  <w:abstractNum w:abstractNumId="78">
    <w:nsid w:val="555C55B5"/>
    <w:multiLevelType w:val="hybridMultilevel"/>
    <w:lvl w:ilvl="0">
      <w:lvlJc w:val="left"/>
      <w:lvlText w:val="%1"/>
      <w:numFmt w:val="decimal"/>
      <w:start w:val="1"/>
    </w:lvl>
    <w:lvl w:ilvl="1">
      <w:lvlJc w:val="left"/>
      <w:lvlText w:val="(%2)"/>
      <w:numFmt w:val="decimal"/>
      <w:start w:val="2"/>
    </w:lvl>
  </w:abstractNum>
  <w:abstractNum w:abstractNumId="79">
    <w:nsid w:val="3FA62ACA"/>
    <w:multiLevelType w:val="hybridMultilevel"/>
    <w:lvl w:ilvl="0">
      <w:lvlJc w:val="left"/>
      <w:lvlText w:val="%1."/>
      <w:numFmt w:val="decimal"/>
      <w:start w:val="126"/>
    </w:lvl>
    <w:lvl w:ilvl="1">
      <w:lvlJc w:val="left"/>
      <w:lvlText w:val="%2"/>
      <w:numFmt w:val="decimal"/>
      <w:start w:val="1"/>
    </w:lvl>
  </w:abstractNum>
  <w:abstractNum w:abstractNumId="80">
    <w:nsid w:val="14FCE74E"/>
    <w:multiLevelType w:val="hybridMultilevel"/>
    <w:lvl w:ilvl="0">
      <w:lvlJc w:val="left"/>
      <w:lvlText w:val="%1."/>
      <w:numFmt w:val="decimal"/>
      <w:start w:val="127"/>
    </w:lvl>
  </w:abstractNum>
  <w:abstractNum w:abstractNumId="81">
    <w:nsid w:val="6A3DD3E8"/>
    <w:multiLevelType w:val="hybridMultilevel"/>
    <w:lvl w:ilvl="0">
      <w:lvlJc w:val="left"/>
      <w:lvlText w:val="%1."/>
      <w:numFmt w:val="decimal"/>
      <w:start w:val="128"/>
    </w:lvl>
  </w:abstractNum>
  <w:abstractNum w:abstractNumId="82">
    <w:nsid w:val="71C91298"/>
    <w:multiLevelType w:val="hybridMultilevel"/>
    <w:lvl w:ilvl="0">
      <w:lvlJc w:val="left"/>
      <w:lvlText w:val="%1"/>
      <w:numFmt w:val="decimal"/>
      <w:start w:val="1"/>
    </w:lvl>
    <w:lvl w:ilvl="1">
      <w:lvlJc w:val="left"/>
      <w:lvlText w:val="(%2)"/>
      <w:numFmt w:val="lowerLetter"/>
      <w:start w:val="1"/>
    </w:lvl>
  </w:abstractNum>
  <w:abstractNum w:abstractNumId="83">
    <w:nsid w:val="9DAF632"/>
    <w:multiLevelType w:val="hybridMultilevel"/>
    <w:lvl w:ilvl="0">
      <w:lvlJc w:val="left"/>
      <w:lvlText w:val="(%1)"/>
      <w:numFmt w:val="decimal"/>
      <w:start w:val="2"/>
    </w:lvl>
    <w:lvl w:ilvl="1">
      <w:lvlJc w:val="left"/>
      <w:lvlText w:val="%2"/>
      <w:numFmt w:val="lowerLetter"/>
      <w:start w:val="1"/>
    </w:lvl>
  </w:abstractNum>
  <w:abstractNum w:abstractNumId="84">
    <w:nsid w:val="53299938"/>
    <w:multiLevelType w:val="hybridMultilevel"/>
    <w:lvl w:ilvl="0">
      <w:lvlJc w:val="left"/>
      <w:lvlText w:val="(%1)"/>
      <w:numFmt w:val="decimal"/>
      <w:start w:val="2"/>
    </w:lvl>
  </w:abstractNum>
  <w:abstractNum w:abstractNumId="85">
    <w:nsid w:val="1FBFE8E0"/>
    <w:multiLevelType w:val="hybridMultilevel"/>
    <w:lvl w:ilvl="0">
      <w:lvlJc w:val="left"/>
      <w:lvlText w:val="%1."/>
      <w:numFmt w:val="decimal"/>
      <w:start w:val="131"/>
    </w:lvl>
  </w:abstractNum>
  <w:abstractNum w:abstractNumId="86">
    <w:nsid w:val="5092CA79"/>
    <w:multiLevelType w:val="hybridMultilevel"/>
    <w:lvl w:ilvl="0">
      <w:lvlJc w:val="left"/>
      <w:lvlText w:val="(%1)"/>
      <w:numFmt w:val="lowerLetter"/>
      <w:start w:val="1"/>
    </w:lvl>
  </w:abstractNum>
  <w:abstractNum w:abstractNumId="87">
    <w:nsid w:val="1D545C4D"/>
    <w:multiLevelType w:val="hybridMultilevel"/>
    <w:lvl w:ilvl="0">
      <w:lvlJc w:val="left"/>
      <w:lvlText w:val="%1"/>
      <w:numFmt w:val="decimal"/>
      <w:start w:val="1"/>
    </w:lvl>
    <w:lvl w:ilvl="1">
      <w:lvlJc w:val="left"/>
      <w:lvlText w:val="(%2)"/>
      <w:numFmt w:val="decimal"/>
      <w:start w:val="2"/>
    </w:lvl>
  </w:abstractNum>
  <w:abstractNum w:abstractNumId="88">
    <w:nsid w:val="59ADEA3D"/>
    <w:multiLevelType w:val="hybridMultilevel"/>
    <w:lvl w:ilvl="0">
      <w:lvlJc w:val="left"/>
      <w:lvlText w:val="(%1)"/>
      <w:numFmt w:val="decimal"/>
      <w:start w:val="2"/>
    </w:lvl>
    <w:lvl w:ilvl="1">
      <w:lvlJc w:val="left"/>
      <w:lvlText w:val="%2"/>
      <w:numFmt w:val="decimal"/>
      <w:start w:val="1"/>
    </w:lvl>
  </w:abstractNum>
  <w:abstractNum w:abstractNumId="89">
    <w:nsid w:val="288F1A34"/>
    <w:multiLevelType w:val="hybridMultilevel"/>
    <w:lvl w:ilvl="0">
      <w:lvlJc w:val="left"/>
      <w:lvlText w:val="%1."/>
      <w:numFmt w:val="decimal"/>
      <w:start w:val="133"/>
    </w:lvl>
    <w:lvl w:ilvl="1">
      <w:lvlJc w:val="left"/>
      <w:lvlText w:val="(%2)"/>
      <w:numFmt w:val="lowerLetter"/>
      <w:start w:val="1"/>
    </w:lvl>
  </w:abstractNum>
  <w:abstractNum w:abstractNumId="90">
    <w:nsid w:val="2A155DBC"/>
    <w:multiLevelType w:val="hybridMultilevel"/>
    <w:lvl w:ilvl="0">
      <w:lvlJc w:val="left"/>
      <w:lvlText w:val="%1."/>
      <w:numFmt w:val="decimal"/>
      <w:start w:val="136"/>
    </w:lvl>
  </w:abstractNum>
  <w:abstractNum w:abstractNumId="91">
    <w:nsid w:val="1D9F6E5F"/>
    <w:multiLevelType w:val="hybridMultilevel"/>
    <w:lvl w:ilvl="0">
      <w:lvlJc w:val="left"/>
      <w:lvlText w:val="%1."/>
      <w:numFmt w:val="decimal"/>
      <w:start w:val="141"/>
    </w:lvl>
  </w:abstractNum>
  <w:abstractNum w:abstractNumId="92">
    <w:nsid w:val="97E1B4E"/>
    <w:multiLevelType w:val="hybridMultilevel"/>
    <w:lvl w:ilvl="0">
      <w:lvlJc w:val="left"/>
      <w:lvlText w:val="(%1)"/>
      <w:numFmt w:val="decimal"/>
      <w:start w:val="2"/>
    </w:lvl>
  </w:abstractNum>
  <w:abstractNum w:abstractNumId="93">
    <w:nsid w:val="51088277"/>
    <w:multiLevelType w:val="hybridMultilevel"/>
    <w:lvl w:ilvl="0">
      <w:lvlJc w:val="left"/>
      <w:lvlText w:val="%1"/>
      <w:numFmt w:val="decimal"/>
      <w:start w:val="1"/>
    </w:lvl>
    <w:lvl w:ilvl="1">
      <w:lvlJc w:val="left"/>
      <w:lvlText w:val="(%2)"/>
      <w:numFmt w:val="decimal"/>
      <w:start w:val="2"/>
    </w:lvl>
  </w:abstractNum>
  <w:abstractNum w:abstractNumId="94">
    <w:nsid w:val="1CA0C5FA"/>
    <w:multiLevelType w:val="hybridMultilevel"/>
    <w:lvl w:ilvl="0">
      <w:lvlJc w:val="left"/>
      <w:lvlText w:val="%1."/>
      <w:numFmt w:val="decimal"/>
      <w:start w:val="144"/>
    </w:lvl>
    <w:lvl w:ilvl="1">
      <w:lvlJc w:val="left"/>
      <w:lvlText w:val="%2"/>
      <w:numFmt w:val="decimal"/>
      <w:start w:val="1"/>
    </w:lvl>
  </w:abstractNum>
  <w:abstractNum w:abstractNumId="95">
    <w:nsid w:val="53584BCB"/>
    <w:multiLevelType w:val="hybridMultilevel"/>
    <w:lvl w:ilvl="0">
      <w:lvlJc w:val="left"/>
      <w:lvlText w:val="%1."/>
      <w:numFmt w:val="decimal"/>
      <w:start w:val="145"/>
    </w:lvl>
    <w:lvl w:ilvl="1">
      <w:lvlJc w:val="left"/>
      <w:lvlText w:val="(%2)"/>
      <w:numFmt w:val="decimal"/>
      <w:start w:val="1"/>
    </w:lvl>
    <w:lvl w:ilvl="2">
      <w:lvlJc w:val="left"/>
      <w:lvlText w:val="(%3)"/>
      <w:numFmt w:val="lowerLetter"/>
      <w:start w:val="1"/>
    </w:lvl>
  </w:abstractNum>
  <w:abstractNum w:abstractNumId="96">
    <w:nsid w:val="415E286C"/>
    <w:multiLevelType w:val="hybridMultilevel"/>
    <w:lvl w:ilvl="0">
      <w:lvlJc w:val="left"/>
      <w:lvlText w:val="(%1)"/>
      <w:numFmt w:val="lowerLetter"/>
      <w:start w:val="2"/>
    </w:lvl>
    <w:lvl w:ilvl="1">
      <w:lvlJc w:val="left"/>
      <w:lvlText w:val="(%2)"/>
      <w:numFmt w:val="lowerRoman"/>
      <w:start w:val="1"/>
    </w:lvl>
  </w:abstractNum>
  <w:abstractNum w:abstractNumId="97">
    <w:nsid w:val="7C58FD05"/>
    <w:multiLevelType w:val="hybridMultilevel"/>
    <w:lvl w:ilvl="0">
      <w:lvlJc w:val="left"/>
      <w:lvlText w:val="(%1)"/>
      <w:numFmt w:val="decimal"/>
      <w:start w:val="2"/>
    </w:lvl>
  </w:abstractNum>
  <w:abstractNum w:abstractNumId="98">
    <w:nsid w:val="23D86AAC"/>
    <w:multiLevelType w:val="hybridMultilevel"/>
    <w:lvl w:ilvl="0">
      <w:lvlJc w:val="left"/>
      <w:lvlText w:val="%1."/>
      <w:numFmt w:val="decimal"/>
      <w:start w:val="146"/>
    </w:lvl>
  </w:abstractNum>
  <w:abstractNum w:abstractNumId="99">
    <w:nsid w:val="45E6D486"/>
    <w:multiLevelType w:val="hybridMultilevel"/>
    <w:lvl w:ilvl="0">
      <w:lvlJc w:val="left"/>
      <w:lvlText w:val="%1."/>
      <w:numFmt w:val="decimal"/>
      <w:start w:val="148"/>
    </w:lvl>
  </w:abstractNum>
  <w:abstractNum w:abstractNumId="100">
    <w:nsid w:val="5C10FE21"/>
    <w:multiLevelType w:val="hybridMultilevel"/>
    <w:lvl w:ilvl="0">
      <w:lvlJc w:val="left"/>
      <w:lvlText w:val="%1."/>
      <w:numFmt w:val="decimal"/>
      <w:start w:val="150"/>
    </w:lvl>
  </w:abstractNum>
  <w:abstractNum w:abstractNumId="101">
    <w:nsid w:val="E7FFA2B"/>
    <w:multiLevelType w:val="hybridMultilevel"/>
    <w:lvl w:ilvl="0">
      <w:lvlJc w:val="left"/>
      <w:lvlText w:val="%1."/>
      <w:numFmt w:val="decimal"/>
      <w:start w:val="154"/>
    </w:lvl>
    <w:lvl w:ilvl="1">
      <w:lvlJc w:val="left"/>
      <w:lvlText w:val="(%2)"/>
      <w:numFmt w:val="lowerLetter"/>
      <w:start w:val="1"/>
    </w:lvl>
  </w:abstractNum>
  <w:abstractNum w:abstractNumId="102">
    <w:nsid w:val="3C5991AA"/>
    <w:multiLevelType w:val="hybridMultilevel"/>
    <w:lvl w:ilvl="0">
      <w:lvlJc w:val="left"/>
      <w:lvlText w:val="(%1)"/>
      <w:numFmt w:val="lowerLetter"/>
      <w:start w:val="2"/>
    </w:lvl>
  </w:abstractNum>
  <w:abstractNum w:abstractNumId="103">
    <w:nsid w:val="4BD8591A"/>
    <w:multiLevelType w:val="hybridMultilevel"/>
    <w:lvl w:ilvl="0">
      <w:lvlJc w:val="left"/>
      <w:lvlText w:val="(%1)"/>
      <w:numFmt w:val="decimal"/>
      <w:start w:val="2"/>
    </w:lvl>
  </w:abstractNum>
  <w:abstractNum w:abstractNumId="104">
    <w:nsid w:val="78DF6A55"/>
    <w:multiLevelType w:val="hybridMultilevel"/>
    <w:lvl w:ilvl="0">
      <w:lvlJc w:val="left"/>
      <w:lvlText w:val="%1."/>
      <w:numFmt w:val="decimal"/>
      <w:start w:val="157"/>
    </w:lvl>
  </w:abstractNum>
  <w:abstractNum w:abstractNumId="105">
    <w:nsid w:val="39B7AAA2"/>
    <w:multiLevelType w:val="hybridMultilevel"/>
    <w:lvl w:ilvl="0">
      <w:lvlJc w:val="left"/>
      <w:lvlText w:val="(%1)"/>
      <w:numFmt w:val="decimal"/>
      <w:start w:val="2"/>
    </w:lvl>
  </w:abstractNum>
  <w:abstractNum w:abstractNumId="106">
    <w:nsid w:val="2B0D8DBE"/>
    <w:multiLevelType w:val="hybridMultilevel"/>
    <w:lvl w:ilvl="0">
      <w:lvlJc w:val="left"/>
      <w:lvlText w:val="%1"/>
      <w:numFmt w:val="decimal"/>
      <w:start w:val="1"/>
    </w:lvl>
    <w:lvl w:ilvl="1">
      <w:lvlJc w:val="left"/>
      <w:lvlText w:val="(%2)"/>
      <w:numFmt w:val="lowerRoman"/>
      <w:start w:val="2"/>
    </w:lvl>
  </w:abstractNum>
  <w:abstractNum w:abstractNumId="107">
    <w:nsid w:val="6C80EC70"/>
    <w:multiLevelType w:val="hybridMultilevel"/>
    <w:lvl w:ilvl="0">
      <w:lvlJc w:val="left"/>
      <w:lvlText w:val="(%1)"/>
      <w:numFmt w:val="decimal"/>
      <w:start w:val="2"/>
    </w:lvl>
    <w:lvl w:ilvl="1">
      <w:lvlJc w:val="left"/>
      <w:lvlText w:val="%2"/>
      <w:numFmt w:val="lowerRoman"/>
      <w:start w:val="1"/>
    </w:lvl>
  </w:abstractNum>
  <w:abstractNum w:abstractNumId="108">
    <w:nsid w:val="379E21B5"/>
    <w:multiLevelType w:val="hybridMultilevel"/>
    <w:lvl w:ilvl="0">
      <w:lvlJc w:val="left"/>
      <w:lvlText w:val="(%1)"/>
      <w:numFmt w:val="lowerLetter"/>
      <w:start w:val="1"/>
    </w:lvl>
  </w:abstractNum>
  <w:abstractNum w:abstractNumId="109">
    <w:nsid w:val="69E373"/>
    <w:multiLevelType w:val="hybridMultilevel"/>
    <w:lvl w:ilvl="0">
      <w:lvlJc w:val="left"/>
      <w:lvlText w:val="%1"/>
      <w:numFmt w:val="decimal"/>
      <w:start w:val="1"/>
    </w:lvl>
    <w:lvl w:ilvl="1">
      <w:lvlJc w:val="left"/>
      <w:lvlText w:val="(%2)"/>
      <w:numFmt w:val="lowerLetter"/>
      <w:start w:val="1"/>
    </w:lvl>
  </w:abstractNum>
  <w:abstractNum w:abstractNumId="110">
    <w:nsid w:val="2C27173B"/>
    <w:multiLevelType w:val="hybridMultilevel"/>
    <w:lvl w:ilvl="0">
      <w:lvlJc w:val="left"/>
      <w:lvlText w:val="(%1)"/>
      <w:numFmt w:val="decimal"/>
      <w:start w:val="2"/>
    </w:lvl>
    <w:lvl w:ilvl="1">
      <w:lvlJc w:val="left"/>
      <w:lvlText w:val="%2"/>
      <w:numFmt w:val="lowerLetter"/>
      <w:start w:val="1"/>
    </w:lvl>
  </w:abstractNum>
  <w:abstractNum w:abstractNumId="111">
    <w:nsid w:val="4C9B0904"/>
    <w:multiLevelType w:val="hybridMultilevel"/>
    <w:lvl w:ilvl="0">
      <w:lvlJc w:val="left"/>
      <w:lvlText w:val="%1."/>
      <w:numFmt w:val="decimal"/>
      <w:start w:val="161"/>
    </w:lvl>
  </w:abstractNum>
  <w:abstractNum w:abstractNumId="112">
    <w:nsid w:val="6AA7B75C"/>
    <w:multiLevelType w:val="hybridMultilevel"/>
    <w:lvl w:ilvl="0">
      <w:lvlJc w:val="left"/>
      <w:lvlText w:val="%1."/>
      <w:numFmt w:val="decimal"/>
      <w:start w:val="162"/>
    </w:lvl>
  </w:abstractNum>
  <w:abstractNum w:abstractNumId="113">
    <w:nsid w:val="1DF029D3"/>
    <w:multiLevelType w:val="hybridMultilevel"/>
    <w:lvl w:ilvl="0">
      <w:lvlJc w:val="left"/>
      <w:lvlText w:val="%1."/>
      <w:numFmt w:val="decimal"/>
      <w:start w:val="163"/>
    </w:lvl>
  </w:abstractNum>
  <w:abstractNum w:abstractNumId="114">
    <w:nsid w:val="5675FF36"/>
    <w:multiLevelType w:val="hybridMultilevel"/>
    <w:lvl w:ilvl="0">
      <w:lvlJc w:val="left"/>
      <w:lvlText w:val="%1."/>
      <w:numFmt w:val="decimal"/>
      <w:start w:val="164"/>
    </w:lvl>
  </w:abstractNum>
  <w:abstractNum w:abstractNumId="115">
    <w:nsid w:val="3DD15094"/>
    <w:multiLevelType w:val="hybridMultilevel"/>
    <w:lvl w:ilvl="0">
      <w:lvlJc w:val="left"/>
      <w:lvlText w:val="%1."/>
      <w:numFmt w:val="decimal"/>
      <w:start w:val="2"/>
    </w:lvl>
  </w:abstractNum>
  <w:abstractNum w:abstractNumId="116">
    <w:nsid w:val="3DB012B3"/>
    <w:multiLevelType w:val="hybridMultilevel"/>
    <w:lvl w:ilvl="0">
      <w:lvlJc w:val="left"/>
      <w:lvlText w:val="1"/>
      <w:numFmt w:val="bullet"/>
      <w:start w:val="1"/>
    </w:lvl>
  </w:abstractNum>
  <w:abstractNum w:abstractNumId="117">
    <w:nsid w:val="2708C9AF"/>
    <w:multiLevelType w:val="hybridMultilevel"/>
    <w:lvl w:ilvl="0">
      <w:lvlJc w:val="left"/>
      <w:lvlText w:val="2"/>
      <w:numFmt w:val="bullet"/>
      <w:start w:val="1"/>
    </w:lvl>
  </w:abstractNum>
  <w:abstractNum w:abstractNumId="118">
    <w:nsid w:val="5B25ACE2"/>
    <w:multiLevelType w:val="hybridMultilevel"/>
    <w:lvl w:ilvl="0">
      <w:lvlJc w:val="left"/>
      <w:lvlText w:val="3"/>
      <w:numFmt w:val="bullet"/>
      <w:start w:val="1"/>
    </w:lvl>
  </w:abstractNum>
  <w:abstractNum w:abstractNumId="119">
    <w:nsid w:val="175DFCF0"/>
    <w:multiLevelType w:val="hybridMultilevel"/>
    <w:lvl w:ilvl="0">
      <w:lvlJc w:val="left"/>
      <w:lvlText w:val="4"/>
      <w:numFmt w:val="bullet"/>
      <w:start w:val="1"/>
    </w:lvl>
  </w:abstractNum>
  <w:abstractNum w:abstractNumId="120">
    <w:nsid w:val="4F97E3E4"/>
    <w:multiLevelType w:val="hybridMultilevel"/>
    <w:lvl w:ilvl="0">
      <w:lvlJc w:val="left"/>
      <w:lvlText w:val="•"/>
      <w:numFmt w:val="bullet"/>
      <w:start w:val="1"/>
    </w:lvl>
  </w:abstractNum>
  <w:abstractNum w:abstractNumId="121">
    <w:nsid w:val="53B0A9E"/>
    <w:multiLevelType w:val="hybridMultilevel"/>
    <w:lvl w:ilvl="0">
      <w:lvlJc w:val="left"/>
      <w:lvlText w:val="1"/>
      <w:numFmt w:val="bullet"/>
      <w:start w:val="1"/>
    </w:lvl>
  </w:abstractNum>
  <w:abstractNum w:abstractNumId="122">
    <w:nsid w:val="34FD6B4F"/>
    <w:multiLevelType w:val="hybridMultilevel"/>
    <w:lvl w:ilvl="0">
      <w:lvlJc w:val="left"/>
      <w:lvlText w:val="2"/>
      <w:numFmt w:val="bullet"/>
      <w:start w:val="1"/>
    </w:lvl>
  </w:abstractNum>
  <w:abstractNum w:abstractNumId="123">
    <w:nsid w:val="5915FF32"/>
    <w:multiLevelType w:val="hybridMultilevel"/>
    <w:lvl w:ilvl="0">
      <w:lvlJc w:val="left"/>
      <w:lvlText w:val="•"/>
      <w:numFmt w:val="bullet"/>
      <w:start w:val="1"/>
    </w:lvl>
  </w:abstractNum>
  <w:abstractNum w:abstractNumId="124">
    <w:nsid w:val="56438D15"/>
    <w:multiLevelType w:val="hybridMultilevel"/>
    <w:lvl w:ilvl="0">
      <w:lvlJc w:val="left"/>
      <w:lvlText w:val="•"/>
      <w:numFmt w:val="bullet"/>
      <w:start w:val="1"/>
    </w:lvl>
  </w:abstractNum>
  <w:abstractNum w:abstractNumId="125">
    <w:nsid w:val="519E314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2026-05-28T05:33:37Z</dcterms:created>
  <dcterms:modified xsi:type="dcterms:W3CDTF">2026-05-28T05:33:37Z</dcterms:modified>
</cp:coreProperties>
</file>