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0001976012</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Autohome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001-36222</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18TH FLOOR TOWER B, CEC PLAZA</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3 Dan Ling Street, Haidian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BEIJING</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100080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8610 5985 7001</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Zeng 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0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08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 the</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08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CITIGROUP GLOBAL</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ADS</w:t>
      </w:r>
      <w:r>
        <w:rPr>
          <w:sz w:val="20"/>
          <w:szCs w:val="20"/>
          <w:color w:val="auto"/>
        </w:rPr>
        <w:tab/>
      </w:r>
      <w:r>
        <w:rPr>
          <w:rFonts w:ascii="Times New Roman" w:cs="Times New Roman" w:eastAsia="Times New Roman" w:hAnsi="Times New Roman"/>
          <w:sz w:val="29"/>
          <w:szCs w:val="29"/>
          <w:color w:val="auto"/>
          <w:vertAlign w:val="superscript"/>
        </w:rPr>
        <w:t>MARKETS</w:t>
      </w:r>
      <w:r>
        <w:rPr>
          <w:sz w:val="20"/>
          <w:szCs w:val="20"/>
          <w:color w:val="auto"/>
        </w:rPr>
        <w:tab/>
      </w:r>
      <w:r>
        <w:rPr>
          <w:rFonts w:ascii="Times New Roman" w:cs="Times New Roman" w:eastAsia="Times New Roman" w:hAnsi="Times New Roman"/>
          <w:sz w:val="18"/>
          <w:szCs w:val="18"/>
          <w:color w:val="auto"/>
        </w:rPr>
        <w:t>6075</w:t>
      </w:r>
      <w:r>
        <w:rPr>
          <w:sz w:val="20"/>
          <w:szCs w:val="20"/>
          <w:color w:val="auto"/>
        </w:rPr>
        <w:tab/>
      </w:r>
      <w:r>
        <w:rPr>
          <w:rFonts w:ascii="Times New Roman" w:cs="Times New Roman" w:eastAsia="Times New Roman" w:hAnsi="Times New Roman"/>
          <w:sz w:val="18"/>
          <w:szCs w:val="18"/>
          <w:color w:val="auto"/>
        </w:rPr>
        <w:t>105097.50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462976351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40" w:val="left"/>
          <w:tab w:leader="none" w:pos="2900" w:val="left"/>
          <w:tab w:leader="none" w:pos="422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8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00" w:type="dxa"/>
            <w:vAlign w:val="bottom"/>
          </w:tcPr>
          <w:p>
            <w:pPr>
              <w:spacing w:after="0"/>
              <w:rPr>
                <w:sz w:val="21"/>
                <w:szCs w:val="21"/>
                <w:color w:val="auto"/>
              </w:rPr>
            </w:pPr>
          </w:p>
        </w:tc>
        <w:tc>
          <w:tcPr>
            <w:tcW w:w="2880" w:type="dxa"/>
            <w:vAlign w:val="bottom"/>
          </w:tcPr>
          <w:p>
            <w:pPr>
              <w:ind w:left="156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6"/>
        </w:trPr>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1"/>
        </w:trPr>
        <w:tc>
          <w:tcPr>
            <w:tcW w:w="1200" w:type="dxa"/>
            <w:vAlign w:val="bottom"/>
          </w:tcPr>
          <w:p>
            <w:pPr>
              <w:spacing w:after="0"/>
              <w:rPr>
                <w:sz w:val="23"/>
                <w:szCs w:val="23"/>
                <w:color w:val="auto"/>
              </w:rPr>
            </w:pPr>
          </w:p>
        </w:tc>
        <w:tc>
          <w:tcPr>
            <w:tcW w:w="28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ACQUIRED</w:t>
            </w:r>
          </w:p>
        </w:tc>
        <w:tc>
          <w:tcPr>
            <w:tcW w:w="1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43"/>
        </w:trPr>
        <w:tc>
          <w:tcPr>
            <w:tcW w:w="1200" w:type="dxa"/>
            <w:vAlign w:val="bottom"/>
          </w:tcPr>
          <w:p>
            <w:pPr>
              <w:spacing w:after="0"/>
              <w:rPr>
                <w:sz w:val="21"/>
                <w:szCs w:val="21"/>
                <w:color w:val="auto"/>
              </w:rPr>
            </w:pPr>
          </w:p>
        </w:tc>
        <w:tc>
          <w:tcPr>
            <w:tcW w:w="28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STOCK UNDER</w:t>
            </w:r>
          </w:p>
        </w:tc>
        <w:tc>
          <w:tcPr>
            <w:tcW w:w="1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1200" w:type="dxa"/>
            <w:vAlign w:val="bottom"/>
          </w:tcPr>
          <w:p>
            <w:pPr>
              <w:spacing w:after="0"/>
              <w:rPr>
                <w:sz w:val="18"/>
                <w:szCs w:val="18"/>
                <w:color w:val="auto"/>
              </w:rPr>
            </w:pPr>
          </w:p>
        </w:tc>
        <w:tc>
          <w:tcPr>
            <w:tcW w:w="288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COMPANY</w:t>
            </w:r>
          </w:p>
        </w:tc>
        <w:tc>
          <w:tcPr>
            <w:tcW w:w="152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AUTOHOME</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ADS</w:t>
            </w:r>
          </w:p>
        </w:tc>
        <w:tc>
          <w:tcPr>
            <w:tcW w:w="2880" w:type="dxa"/>
            <w:vAlign w:val="bottom"/>
          </w:tcPr>
          <w:p>
            <w:pPr>
              <w:ind w:left="240"/>
              <w:spacing w:after="0" w:line="269" w:lineRule="exact"/>
              <w:rPr>
                <w:sz w:val="20"/>
                <w:szCs w:val="20"/>
                <w:color w:val="auto"/>
              </w:rPr>
            </w:pPr>
            <w:r>
              <w:rPr>
                <w:rFonts w:ascii="Times New Roman" w:cs="Times New Roman" w:eastAsia="Times New Roman" w:hAnsi="Times New Roman"/>
                <w:sz w:val="17"/>
                <w:szCs w:val="17"/>
                <w:color w:val="auto"/>
              </w:rPr>
              <w:t xml:space="preserve">05/29/2026 </w:t>
            </w:r>
            <w:r>
              <w:rPr>
                <w:rFonts w:ascii="Times New Roman" w:cs="Times New Roman" w:eastAsia="Times New Roman" w:hAnsi="Times New Roman"/>
                <w:sz w:val="31"/>
                <w:szCs w:val="31"/>
                <w:color w:val="auto"/>
                <w:vertAlign w:val="subscript"/>
              </w:rPr>
              <w:t>SHARE</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INC</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6075</w:t>
            </w:r>
          </w:p>
        </w:tc>
        <w:tc>
          <w:tcPr>
            <w:tcW w:w="1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05/29/2026 NA</w:t>
            </w:r>
          </w:p>
        </w:tc>
        <w:tc>
          <w:tcPr>
            <w:tcW w:w="1000" w:type="dxa"/>
            <w:vAlign w:val="bottom"/>
          </w:tcPr>
          <w:p>
            <w:pPr>
              <w:spacing w:after="0"/>
              <w:rPr>
                <w:sz w:val="23"/>
                <w:szCs w:val="23"/>
                <w:color w:val="auto"/>
              </w:rPr>
            </w:pPr>
          </w:p>
        </w:tc>
      </w:tr>
      <w:tr>
        <w:trPr>
          <w:trHeight w:val="243"/>
        </w:trPr>
        <w:tc>
          <w:tcPr>
            <w:tcW w:w="1200" w:type="dxa"/>
            <w:vAlign w:val="bottom"/>
          </w:tcPr>
          <w:p>
            <w:pPr>
              <w:spacing w:after="0"/>
              <w:rPr>
                <w:sz w:val="21"/>
                <w:szCs w:val="21"/>
                <w:color w:val="auto"/>
              </w:rPr>
            </w:pPr>
          </w:p>
        </w:tc>
        <w:tc>
          <w:tcPr>
            <w:tcW w:w="28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INCENTIVE</w:t>
            </w:r>
          </w:p>
        </w:tc>
        <w:tc>
          <w:tcPr>
            <w:tcW w:w="1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2"/>
        </w:trPr>
        <w:tc>
          <w:tcPr>
            <w:tcW w:w="1200" w:type="dxa"/>
            <w:vAlign w:val="bottom"/>
          </w:tcPr>
          <w:p>
            <w:pPr>
              <w:spacing w:after="0"/>
              <w:rPr>
                <w:sz w:val="24"/>
                <w:szCs w:val="24"/>
                <w:color w:val="auto"/>
              </w:rPr>
            </w:pPr>
          </w:p>
        </w:tc>
        <w:tc>
          <w:tcPr>
            <w:tcW w:w="28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PLAN</w:t>
            </w: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-538480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2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42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264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4220" w:type="dxa"/>
            <w:vAlign w:val="bottom"/>
            <w:vMerge w:val="continue"/>
          </w:tcPr>
          <w:p>
            <w:pPr>
              <w:spacing w:after="0"/>
              <w:rPr>
                <w:sz w:val="10"/>
                <w:szCs w:val="10"/>
                <w:color w:val="auto"/>
              </w:rPr>
            </w:pPr>
          </w:p>
        </w:tc>
        <w:tc>
          <w:tcPr>
            <w:tcW w:w="26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2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220" w:type="dxa"/>
            <w:vAlign w:val="bottom"/>
          </w:tcPr>
          <w:p>
            <w:pPr>
              <w:spacing w:after="0"/>
              <w:rPr>
                <w:sz w:val="20"/>
                <w:szCs w:val="20"/>
                <w:color w:val="auto"/>
              </w:rPr>
            </w:pPr>
            <w:r>
              <w:rPr>
                <w:rFonts w:ascii="Times New Roman" w:cs="Times New Roman" w:eastAsia="Times New Roman" w:hAnsi="Times New Roman"/>
                <w:sz w:val="22"/>
                <w:szCs w:val="22"/>
                <w:color w:val="auto"/>
              </w:rPr>
              <w:t>Zeng Yan</w:t>
            </w:r>
          </w:p>
        </w:tc>
        <w:tc>
          <w:tcPr>
            <w:tcW w:w="26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4220" w:type="dxa"/>
            <w:vAlign w:val="bottom"/>
          </w:tcPr>
          <w:p>
            <w:pPr>
              <w:spacing w:after="0" w:line="337" w:lineRule="exact"/>
              <w:rPr>
                <w:sz w:val="20"/>
                <w:szCs w:val="20"/>
                <w:color w:val="auto"/>
              </w:rPr>
            </w:pPr>
            <w:r>
              <w:rPr>
                <w:rFonts w:ascii="Times New Roman" w:cs="Times New Roman" w:eastAsia="Times New Roman" w:hAnsi="Times New Roman"/>
                <w:sz w:val="20"/>
                <w:szCs w:val="20"/>
                <w:color w:val="auto"/>
              </w:rPr>
              <w:t xml:space="preserve">18TH FLOOR TOWER B, CEC PLAZA </w:t>
            </w:r>
            <w:r>
              <w:rPr>
                <w:rFonts w:ascii="Times New Roman" w:cs="Times New Roman" w:eastAsia="Times New Roman" w:hAnsi="Times New Roman"/>
                <w:sz w:val="39"/>
                <w:szCs w:val="39"/>
                <w:color w:val="auto"/>
                <w:vertAlign w:val="subscript"/>
              </w:rPr>
              <w:t>ADS</w:t>
            </w:r>
          </w:p>
        </w:tc>
        <w:tc>
          <w:tcPr>
            <w:tcW w:w="2640" w:type="dxa"/>
            <w:vAlign w:val="bottom"/>
          </w:tcPr>
          <w:p>
            <w:pPr>
              <w:spacing w:after="0"/>
              <w:rPr>
                <w:sz w:val="24"/>
                <w:szCs w:val="24"/>
                <w:color w:val="auto"/>
              </w:rPr>
            </w:pP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03/31/2026 676</w:t>
            </w:r>
          </w:p>
        </w:tc>
        <w:tc>
          <w:tcPr>
            <w:tcW w:w="158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11587.25</w:t>
            </w:r>
          </w:p>
        </w:tc>
        <w:tc>
          <w:tcPr>
            <w:tcW w:w="0" w:type="dxa"/>
            <w:vAlign w:val="bottom"/>
          </w:tcPr>
          <w:p>
            <w:pPr>
              <w:spacing w:after="0"/>
              <w:rPr>
                <w:sz w:val="1"/>
                <w:szCs w:val="1"/>
                <w:color w:val="auto"/>
              </w:rPr>
            </w:pPr>
          </w:p>
        </w:tc>
      </w:tr>
      <w:tr>
        <w:trPr>
          <w:trHeight w:val="172"/>
        </w:trPr>
        <w:tc>
          <w:tcPr>
            <w:tcW w:w="42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3 Dan Ling Street, Haidian District</w:t>
            </w:r>
          </w:p>
        </w:tc>
        <w:tc>
          <w:tcPr>
            <w:tcW w:w="2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BEJING  F4  100080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SECTION 3 D BASED ON CLOSING PRICE MAY 28 OF 17.30. UNDER SECURITIES TO BE SOLD DATE AND NATURE OF PAYMENT NA. SECTION 3 E SHARES OR OTHER UNITS OUTSTANDING BASED ON ORDINARY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05/29/2026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2026-05-29T05:46:21Z</dcterms:created>
  <dcterms:modified xsi:type="dcterms:W3CDTF">2026-05-29T05:46:21Z</dcterms:modified>
</cp:coreProperties>
</file>