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40903.xml.htm"/>
      <w:bookmarkStart w:id="1" w:name="ksform409022026_040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Zhou Shenglei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AUTOHOME INC., 18TH FLOOR TOWER B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CEC PLAZA, 3 DAN LING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DISTRICT, 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Autohome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68"/>
        <w:gridCol w:w="446"/>
        <w:gridCol w:w="839"/>
        <w:gridCol w:w="1150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23,316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6,548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5.5588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16,768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performance-based restricted shares for which the Reporting Person is entitled to receive one (1) Ordinary Share for each resticted share that vested and settled as of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sold to satisfy withholding tax obligations upon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Shenglei Zhou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1933" TargetMode="External"/><Relationship Id="rId5" Type="http://schemas.openxmlformats.org/officeDocument/2006/relationships/hyperlink" Target="http://www.sec.gov/cgi-bin/browse-edgar?action=getcompany&amp;CIK=0001527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3400</Characters>
  <CharactersWithSpaces>3949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