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29, 2026</w:t>
      </w:r>
    </w:p>
    <w:p>
      <w:pPr>
        <w:spacing w:after="0" w:line="27" w:lineRule="exact"/>
        <w:rPr>
          <w:sz w:val="24"/>
          <w:szCs w:val="24"/>
          <w:color w:val="auto"/>
        </w:rPr>
      </w:pPr>
    </w:p>
    <w:p>
      <w:pPr>
        <w:ind w:left="896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98425</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140970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168275</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FORM S-8</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REGISTRATION STATEMENT</w:t>
      </w: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UNDER</w:t>
      </w: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171450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Autohome Inc.</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177165</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tbl>
      <w:tblPr>
        <w:tblLayout w:type="fixed"/>
        <w:tblInd w:w="1820" w:type="dxa"/>
        <w:tblCellMar>
          <w:top w:w="0" w:type="dxa"/>
          <w:left w:w="0" w:type="dxa"/>
          <w:bottom w:w="0" w:type="dxa"/>
          <w:right w:w="0" w:type="dxa"/>
        </w:tblCellMar>
      </w:tblPr>
      <w:tr>
        <w:trPr>
          <w:trHeight w:val="192"/>
        </w:trPr>
        <w:tc>
          <w:tcPr>
            <w:tcW w:w="3780" w:type="dxa"/>
            <w:vAlign w:val="bottom"/>
          </w:tcPr>
          <w:p>
            <w:pPr>
              <w:jc w:val="center"/>
              <w:ind w:right="1846"/>
              <w:spacing w:after="0"/>
              <w:rPr>
                <w:sz w:val="20"/>
                <w:szCs w:val="20"/>
                <w:color w:val="auto"/>
              </w:rPr>
            </w:pPr>
            <w:r>
              <w:rPr>
                <w:rFonts w:ascii="Times New Roman" w:cs="Times New Roman" w:eastAsia="Times New Roman" w:hAnsi="Times New Roman"/>
                <w:sz w:val="16"/>
                <w:szCs w:val="16"/>
                <w:b w:val="1"/>
                <w:bCs w:val="1"/>
                <w:color w:val="auto"/>
                <w:w w:val="99"/>
              </w:rPr>
              <w:t>Cayman Islands</w:t>
            </w:r>
          </w:p>
        </w:tc>
        <w:tc>
          <w:tcPr>
            <w:tcW w:w="3360" w:type="dxa"/>
            <w:vAlign w:val="bottom"/>
          </w:tcPr>
          <w:p>
            <w:pPr>
              <w:jc w:val="center"/>
              <w:ind w:left="1866"/>
              <w:spacing w:after="0"/>
              <w:rPr>
                <w:sz w:val="20"/>
                <w:szCs w:val="20"/>
                <w:color w:val="auto"/>
              </w:rPr>
            </w:pPr>
            <w:r>
              <w:rPr>
                <w:rFonts w:ascii="Times New Roman" w:cs="Times New Roman" w:eastAsia="Times New Roman" w:hAnsi="Times New Roman"/>
                <w:sz w:val="16"/>
                <w:szCs w:val="16"/>
                <w:b w:val="1"/>
                <w:bCs w:val="1"/>
                <w:color w:val="auto"/>
                <w:w w:val="99"/>
              </w:rPr>
              <w:t>Not Applicable</w:t>
            </w:r>
          </w:p>
        </w:tc>
      </w:tr>
      <w:tr>
        <w:trPr>
          <w:trHeight w:val="147"/>
        </w:trPr>
        <w:tc>
          <w:tcPr>
            <w:tcW w:w="3780" w:type="dxa"/>
            <w:vAlign w:val="bottom"/>
          </w:tcPr>
          <w:p>
            <w:pPr>
              <w:jc w:val="center"/>
              <w:ind w:right="1846"/>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60" w:type="dxa"/>
            <w:vAlign w:val="bottom"/>
          </w:tcPr>
          <w:p>
            <w:pPr>
              <w:jc w:val="center"/>
              <w:ind w:left="1866"/>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780" w:type="dxa"/>
            <w:vAlign w:val="bottom"/>
          </w:tcPr>
          <w:p>
            <w:pPr>
              <w:jc w:val="center"/>
              <w:ind w:right="184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60" w:type="dxa"/>
            <w:vAlign w:val="bottom"/>
          </w:tcPr>
          <w:p>
            <w:pPr>
              <w:jc w:val="center"/>
              <w:ind w:left="1866"/>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18th Floor Tower B, CEC Plaza</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3 Dan Ling Street</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Haidian District, Beijing 100080</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The People’s Republic of China</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Telephone: +86 (10) 5985-7001</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156210</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2026 Share Incentive Plan</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156210</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CCS Global Solutions, Inc.,</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99 Washington Avenue, Suite 805A</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Albany, New York 12210</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Telephone: +1 (800) 300-5067</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156210</wp:posOffset>
            </wp:positionV>
            <wp:extent cx="145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69" w:lineRule="exact"/>
        <w:rPr>
          <w:sz w:val="24"/>
          <w:szCs w:val="24"/>
          <w:color w:val="auto"/>
        </w:rPr>
      </w:pPr>
    </w:p>
    <w:tbl>
      <w:tblPr>
        <w:tblLayout w:type="fixed"/>
        <w:tblInd w:w="1640" w:type="dxa"/>
        <w:tblCellMar>
          <w:top w:w="0" w:type="dxa"/>
          <w:left w:w="0" w:type="dxa"/>
          <w:bottom w:w="0" w:type="dxa"/>
          <w:right w:w="0" w:type="dxa"/>
        </w:tblCellMar>
      </w:tblPr>
      <w:tr>
        <w:trPr>
          <w:trHeight w:val="213"/>
        </w:trPr>
        <w:tc>
          <w:tcPr>
            <w:tcW w:w="2840" w:type="dxa"/>
            <w:vAlign w:val="bottom"/>
          </w:tcPr>
          <w:p>
            <w:pPr>
              <w:spacing w:after="0"/>
              <w:rPr>
                <w:sz w:val="18"/>
                <w:szCs w:val="18"/>
                <w:color w:val="auto"/>
              </w:rPr>
            </w:pPr>
          </w:p>
        </w:tc>
        <w:tc>
          <w:tcPr>
            <w:tcW w:w="4840" w:type="dxa"/>
            <w:vAlign w:val="bottom"/>
          </w:tcPr>
          <w:p>
            <w:pPr>
              <w:ind w:left="64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337"/>
        </w:trPr>
        <w:tc>
          <w:tcPr>
            <w:tcW w:w="28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7"/>
              </w:rPr>
              <w:t>Craig Yan Zeng</w:t>
            </w:r>
          </w:p>
        </w:tc>
        <w:tc>
          <w:tcPr>
            <w:tcW w:w="4840" w:type="dxa"/>
            <w:vAlign w:val="bottom"/>
          </w:tcPr>
          <w:p>
            <w:pPr>
              <w:jc w:val="center"/>
              <w:ind w:left="2620"/>
              <w:spacing w:after="0"/>
              <w:rPr>
                <w:sz w:val="20"/>
                <w:szCs w:val="20"/>
                <w:color w:val="auto"/>
              </w:rPr>
            </w:pPr>
            <w:r>
              <w:rPr>
                <w:rFonts w:ascii="Times New Roman" w:cs="Times New Roman" w:eastAsia="Times New Roman" w:hAnsi="Times New Roman"/>
                <w:sz w:val="16"/>
                <w:szCs w:val="16"/>
                <w:b w:val="1"/>
                <w:bCs w:val="1"/>
                <w:color w:val="auto"/>
                <w:w w:val="98"/>
              </w:rPr>
              <w:t>Will H. Cai, Esq.</w:t>
            </w:r>
          </w:p>
        </w:tc>
      </w:tr>
      <w:tr>
        <w:trPr>
          <w:trHeight w:val="200"/>
        </w:trPr>
        <w:tc>
          <w:tcPr>
            <w:tcW w:w="28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18th Floor Tower B, CEC Plaza</w:t>
            </w:r>
          </w:p>
        </w:tc>
        <w:tc>
          <w:tcPr>
            <w:tcW w:w="4840" w:type="dxa"/>
            <w:vAlign w:val="bottom"/>
          </w:tcPr>
          <w:p>
            <w:pPr>
              <w:jc w:val="center"/>
              <w:ind w:left="2620"/>
              <w:spacing w:after="0"/>
              <w:rPr>
                <w:sz w:val="20"/>
                <w:szCs w:val="20"/>
                <w:color w:val="auto"/>
              </w:rPr>
            </w:pPr>
            <w:r>
              <w:rPr>
                <w:rFonts w:ascii="Times New Roman" w:cs="Times New Roman" w:eastAsia="Times New Roman" w:hAnsi="Times New Roman"/>
                <w:sz w:val="16"/>
                <w:szCs w:val="16"/>
                <w:b w:val="1"/>
                <w:bCs w:val="1"/>
                <w:color w:val="auto"/>
                <w:w w:val="99"/>
              </w:rPr>
              <w:t>Cooley LLP</w:t>
            </w:r>
          </w:p>
        </w:tc>
      </w:tr>
      <w:tr>
        <w:trPr>
          <w:trHeight w:val="200"/>
        </w:trPr>
        <w:tc>
          <w:tcPr>
            <w:tcW w:w="2840" w:type="dxa"/>
            <w:vAlign w:val="bottom"/>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3 Dan Ling Street</w:t>
            </w:r>
          </w:p>
        </w:tc>
        <w:tc>
          <w:tcPr>
            <w:tcW w:w="4840" w:type="dxa"/>
            <w:vAlign w:val="bottom"/>
          </w:tcPr>
          <w:p>
            <w:pPr>
              <w:jc w:val="center"/>
              <w:ind w:left="2620"/>
              <w:spacing w:after="0"/>
              <w:rPr>
                <w:sz w:val="20"/>
                <w:szCs w:val="20"/>
                <w:color w:val="auto"/>
              </w:rPr>
            </w:pPr>
            <w:r>
              <w:rPr>
                <w:rFonts w:ascii="Times New Roman" w:cs="Times New Roman" w:eastAsia="Times New Roman" w:hAnsi="Times New Roman"/>
                <w:sz w:val="16"/>
                <w:szCs w:val="16"/>
                <w:b w:val="1"/>
                <w:bCs w:val="1"/>
                <w:color w:val="auto"/>
                <w:w w:val="99"/>
              </w:rPr>
              <w:t>c/o 35/F, Two Exchange Square</w:t>
            </w:r>
          </w:p>
        </w:tc>
      </w:tr>
      <w:tr>
        <w:trPr>
          <w:trHeight w:val="200"/>
        </w:trPr>
        <w:tc>
          <w:tcPr>
            <w:tcW w:w="28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Haidian District, Beijing 100080</w:t>
            </w:r>
          </w:p>
        </w:tc>
        <w:tc>
          <w:tcPr>
            <w:tcW w:w="4840" w:type="dxa"/>
            <w:vAlign w:val="bottom"/>
          </w:tcPr>
          <w:p>
            <w:pPr>
              <w:jc w:val="center"/>
              <w:ind w:left="2620"/>
              <w:spacing w:after="0"/>
              <w:rPr>
                <w:sz w:val="20"/>
                <w:szCs w:val="20"/>
                <w:color w:val="auto"/>
              </w:rPr>
            </w:pPr>
            <w:r>
              <w:rPr>
                <w:rFonts w:ascii="Times New Roman" w:cs="Times New Roman" w:eastAsia="Times New Roman" w:hAnsi="Times New Roman"/>
                <w:sz w:val="16"/>
                <w:szCs w:val="16"/>
                <w:b w:val="1"/>
                <w:bCs w:val="1"/>
                <w:color w:val="auto"/>
              </w:rPr>
              <w:t>8 Connaught Place, Central</w:t>
            </w:r>
          </w:p>
        </w:tc>
      </w:tr>
      <w:tr>
        <w:trPr>
          <w:trHeight w:val="200"/>
        </w:trPr>
        <w:tc>
          <w:tcPr>
            <w:tcW w:w="28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The People’s Republic of China</w:t>
            </w:r>
          </w:p>
        </w:tc>
        <w:tc>
          <w:tcPr>
            <w:tcW w:w="4840" w:type="dxa"/>
            <w:vAlign w:val="bottom"/>
          </w:tcPr>
          <w:p>
            <w:pPr>
              <w:jc w:val="center"/>
              <w:ind w:left="2620"/>
              <w:spacing w:after="0"/>
              <w:rPr>
                <w:sz w:val="20"/>
                <w:szCs w:val="20"/>
                <w:color w:val="auto"/>
              </w:rPr>
            </w:pPr>
            <w:r>
              <w:rPr>
                <w:rFonts w:ascii="Times New Roman" w:cs="Times New Roman" w:eastAsia="Times New Roman" w:hAnsi="Times New Roman"/>
                <w:sz w:val="16"/>
                <w:szCs w:val="16"/>
                <w:b w:val="1"/>
                <w:bCs w:val="1"/>
                <w:color w:val="auto"/>
                <w:w w:val="99"/>
              </w:rPr>
              <w:t>Hong Kong</w:t>
            </w:r>
          </w:p>
        </w:tc>
      </w:tr>
      <w:tr>
        <w:trPr>
          <w:trHeight w:val="211"/>
        </w:trPr>
        <w:tc>
          <w:tcPr>
            <w:tcW w:w="2840" w:type="dxa"/>
            <w:vAlign w:val="bottom"/>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+86 (10) 5985-7001</w:t>
            </w:r>
          </w:p>
        </w:tc>
        <w:tc>
          <w:tcPr>
            <w:tcW w:w="4840" w:type="dxa"/>
            <w:vAlign w:val="bottom"/>
          </w:tcPr>
          <w:p>
            <w:pPr>
              <w:jc w:val="center"/>
              <w:ind w:left="2620"/>
              <w:spacing w:after="0"/>
              <w:rPr>
                <w:sz w:val="20"/>
                <w:szCs w:val="20"/>
                <w:color w:val="auto"/>
              </w:rPr>
            </w:pPr>
            <w:r>
              <w:rPr>
                <w:rFonts w:ascii="Times New Roman" w:cs="Times New Roman" w:eastAsia="Times New Roman" w:hAnsi="Times New Roman"/>
                <w:sz w:val="16"/>
                <w:szCs w:val="16"/>
                <w:b w:val="1"/>
                <w:bCs w:val="1"/>
                <w:color w:val="auto"/>
                <w:w w:val="99"/>
              </w:rPr>
              <w:t>+852 3758-1200</w:t>
            </w:r>
          </w:p>
        </w:tc>
      </w:tr>
    </w:tbl>
    <w:p>
      <w:pPr>
        <w:spacing w:after="0" w:line="152"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147320</wp:posOffset>
            </wp:positionV>
            <wp:extent cx="1450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62"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3"/>
                <w:szCs w:val="23"/>
                <w:color w:val="auto"/>
              </w:rPr>
            </w:pPr>
          </w:p>
        </w:tc>
        <w:tc>
          <w:tcPr>
            <w:tcW w:w="300" w:type="dxa"/>
            <w:vAlign w:val="bottom"/>
          </w:tcPr>
          <w:p>
            <w:pPr>
              <w:spacing w:after="0"/>
              <w:rPr>
                <w:sz w:val="23"/>
                <w:szCs w:val="23"/>
                <w:color w:val="auto"/>
              </w:rPr>
            </w:pPr>
          </w:p>
        </w:tc>
      </w:tr>
    </w:tbl>
    <w:p>
      <w:pPr>
        <w:spacing w:after="0" w:line="99" w:lineRule="exact"/>
        <w:rPr>
          <w:sz w:val="24"/>
          <w:szCs w:val="24"/>
          <w:color w:val="auto"/>
        </w:rPr>
      </w:pPr>
    </w:p>
    <w:p>
      <w:pPr>
        <w:ind w:right="280"/>
        <w:spacing w:after="0" w:line="21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6921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140335</wp:posOffset>
            </wp:positionV>
            <wp:extent cx="6921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20"/>
          </w:cols>
          <w:pgMar w:left="500" w:top="230" w:right="579" w:bottom="1440" w:gutter="0" w:footer="0" w:header="0"/>
        </w:sectPr>
      </w:pPr>
    </w:p>
    <w:bookmarkStart w:id="1" w:name="page2"/>
    <w:bookmarkEnd w:id="1"/>
    <w:p>
      <w:pPr>
        <w:jc w:val="center"/>
        <w:ind w:right="-14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114" w:lineRule="exact"/>
        <w:rPr>
          <w:sz w:val="20"/>
          <w:szCs w:val="20"/>
          <w:color w:val="auto"/>
        </w:rPr>
      </w:pPr>
    </w:p>
    <w:p>
      <w:pPr>
        <w:jc w:val="center"/>
        <w:ind w:right="-145"/>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ectPr>
          <w:pgSz w:w="11900" w:h="16838" w:orient="portrait"/>
          <w:cols w:equalWidth="0" w:num="1">
            <w:col w:w="10746"/>
          </w:cols>
          <w:pgMar w:left="494" w:top="264" w:right="659" w:bottom="1440" w:gutter="0" w:footer="0" w:header="0"/>
        </w:sectPr>
      </w:pPr>
    </w:p>
    <w:p>
      <w:pPr>
        <w:spacing w:after="0" w:line="25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13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55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Registrant Information and Employee Plan Annual Information*</w:t>
      </w:r>
    </w:p>
    <w:p>
      <w:pPr>
        <w:spacing w:after="0" w:line="200" w:lineRule="exact"/>
        <w:rPr>
          <w:sz w:val="20"/>
          <w:szCs w:val="20"/>
          <w:color w:val="auto"/>
        </w:rPr>
      </w:pPr>
    </w:p>
    <w:p>
      <w:pPr>
        <w:sectPr>
          <w:pgSz w:w="11900" w:h="16838" w:orient="portrait"/>
          <w:cols w:equalWidth="0" w:num="2">
            <w:col w:w="526" w:space="440"/>
            <w:col w:w="9780"/>
          </w:cols>
          <w:pgMar w:left="494" w:top="264" w:right="659" w:bottom="1440" w:gutter="0" w:footer="0" w:header="0"/>
          <w:type w:val="continuous"/>
        </w:sectPr>
      </w:pPr>
    </w:p>
    <w:p>
      <w:pPr>
        <w:spacing w:after="0" w:line="9" w:lineRule="exact"/>
        <w:rPr>
          <w:sz w:val="20"/>
          <w:szCs w:val="20"/>
          <w:color w:val="auto"/>
        </w:rPr>
      </w:pPr>
    </w:p>
    <w:p>
      <w:pPr>
        <w:jc w:val="both"/>
        <w:ind w:left="426" w:hanging="426"/>
        <w:spacing w:after="0" w:line="262" w:lineRule="auto"/>
        <w:tabs>
          <w:tab w:leader="none" w:pos="4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by Part I to be contained in the Section 10(a) prospectus is omitted from this registration statement in accordance with Rule 428 under the Securities Act and the Note to Part I of Form S-8. The documents containing information specified in this Part I will be separately provided to the participants covered by the plan, as specified by Rule 428(b)(1) under the Securities Act.</w:t>
      </w:r>
    </w:p>
    <w:p>
      <w:pPr>
        <w:spacing w:after="0" w:line="110" w:lineRule="exact"/>
        <w:rPr>
          <w:sz w:val="20"/>
          <w:szCs w:val="20"/>
          <w:color w:val="auto"/>
        </w:rPr>
      </w:pPr>
    </w:p>
    <w:p>
      <w:pPr>
        <w:jc w:val="center"/>
        <w:ind w:right="-14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46"/>
          </w:cols>
          <w:pgMar w:left="494" w:top="264" w:right="6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II</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right="500" w:firstLine="436"/>
        <w:spacing w:after="0" w:line="277" w:lineRule="auto"/>
        <w:rPr>
          <w:sz w:val="20"/>
          <w:szCs w:val="20"/>
          <w:color w:val="auto"/>
        </w:rPr>
      </w:pPr>
      <w:r>
        <w:rPr>
          <w:rFonts w:ascii="Times New Roman" w:cs="Times New Roman" w:eastAsia="Times New Roman" w:hAnsi="Times New Roman"/>
          <w:sz w:val="18"/>
          <w:szCs w:val="18"/>
          <w:color w:val="auto"/>
        </w:rPr>
        <w:t>The following documents filed by Autohome Inc. (the “Registrant”) with the Securities and Exchange Commission (the “Commission”) are incorporated by reference as of their respective dates and deemed to be a part hereof:</w:t>
      </w:r>
    </w:p>
    <w:p>
      <w:pPr>
        <w:spacing w:after="0" w:line="70" w:lineRule="exact"/>
        <w:rPr>
          <w:sz w:val="20"/>
          <w:szCs w:val="20"/>
          <w:color w:val="auto"/>
        </w:rPr>
      </w:pPr>
    </w:p>
    <w:p>
      <w:pPr>
        <w:ind w:left="1400" w:right="240" w:hanging="431"/>
        <w:spacing w:after="0" w:line="277" w:lineRule="auto"/>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2">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April 15, 2026 (File No. 001-36222);</w:t>
      </w:r>
    </w:p>
    <w:p>
      <w:pPr>
        <w:spacing w:after="0" w:line="69" w:lineRule="exact"/>
        <w:rPr>
          <w:rFonts w:ascii="Times New Roman" w:cs="Times New Roman" w:eastAsia="Times New Roman" w:hAnsi="Times New Roman"/>
          <w:sz w:val="18"/>
          <w:szCs w:val="18"/>
          <w:color w:val="auto"/>
        </w:rPr>
      </w:pPr>
    </w:p>
    <w:p>
      <w:pPr>
        <w:ind w:left="1400" w:right="280" w:hanging="431"/>
        <w:spacing w:after="0" w:line="277" w:lineRule="auto"/>
        <w:tabs>
          <w:tab w:leader="none" w:pos="1400" w:val="left"/>
        </w:tabs>
        <w:numPr>
          <w:ilvl w:val="0"/>
          <w:numId w:val="2"/>
        </w:numPr>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auto"/>
          </w:rPr>
          <w:t xml:space="preserve">The Registrant’s current report on Form 6-K furnished to the Commission on </w:t>
        </w:r>
        <w:r>
          <w:rPr>
            <w:rFonts w:ascii="Times New Roman" w:cs="Times New Roman" w:eastAsia="Times New Roman" w:hAnsi="Times New Roman"/>
            <w:sz w:val="18"/>
            <w:szCs w:val="18"/>
            <w:u w:val="single" w:color="auto"/>
            <w:color w:val="0000EE"/>
          </w:rPr>
          <w:t>April 15,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14,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28, 2026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May 29, 2026</w:t>
        </w:r>
      </w:hyperlink>
      <w:hyperlink r:id="rId23">
        <w:r>
          <w:rPr>
            <w:rFonts w:ascii="Times New Roman" w:cs="Times New Roman" w:eastAsia="Times New Roman" w:hAnsi="Times New Roman"/>
            <w:sz w:val="18"/>
            <w:szCs w:val="18"/>
            <w:color w:val="000000"/>
          </w:rPr>
          <w:t>;</w:t>
        </w:r>
      </w:hyperlink>
    </w:p>
    <w:p>
      <w:pPr>
        <w:spacing w:after="0" w:line="69" w:lineRule="exact"/>
        <w:rPr>
          <w:rFonts w:ascii="Times New Roman" w:cs="Times New Roman" w:eastAsia="Times New Roman" w:hAnsi="Times New Roman"/>
          <w:sz w:val="18"/>
          <w:szCs w:val="18"/>
          <w:color w:val="0000EE"/>
        </w:rPr>
      </w:pPr>
    </w:p>
    <w:p>
      <w:pPr>
        <w:ind w:left="1400" w:hanging="431"/>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pursuant to Section 13(a) or 15(d) of the Exchange Act; and</w:t>
      </w:r>
    </w:p>
    <w:p>
      <w:pPr>
        <w:spacing w:after="0" w:line="126" w:lineRule="exact"/>
        <w:rPr>
          <w:rFonts w:ascii="Times New Roman" w:cs="Times New Roman" w:eastAsia="Times New Roman" w:hAnsi="Times New Roman"/>
          <w:sz w:val="18"/>
          <w:szCs w:val="18"/>
          <w:color w:val="auto"/>
        </w:rPr>
      </w:pPr>
    </w:p>
    <w:p>
      <w:pPr>
        <w:ind w:left="1400" w:right="260" w:hanging="431"/>
        <w:spacing w:after="0" w:line="262" w:lineRule="auto"/>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ordinary shares contained in </w:t>
      </w:r>
      <w:hyperlink r:id="rId25">
        <w:r>
          <w:rPr>
            <w:rFonts w:ascii="Times New Roman" w:cs="Times New Roman" w:eastAsia="Times New Roman" w:hAnsi="Times New Roman"/>
            <w:sz w:val="18"/>
            <w:szCs w:val="18"/>
            <w:u w:val="single" w:color="auto"/>
            <w:color w:val="0000EE"/>
          </w:rPr>
          <w:t>Exhibit 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20-F for the fiscal year ended December 31, 2020, filed with the Commission on March 2, 2021, including any amendment and report subsequently filed for the purpose of updating that description.</w:t>
      </w:r>
    </w:p>
    <w:p>
      <w:pPr>
        <w:spacing w:after="0" w:line="177" w:lineRule="exact"/>
        <w:rPr>
          <w:rFonts w:ascii="Times New Roman" w:cs="Times New Roman" w:eastAsia="Times New Roman" w:hAnsi="Times New Roman"/>
          <w:sz w:val="18"/>
          <w:szCs w:val="18"/>
          <w:color w:val="0000EE"/>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 13(a), 13(c), 14 or 15(d) of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In addition, any current report on Form 6-K of the Registrant hereafter furnished to the Commission pursuant to the Exchange Act shall be incorporated by reference into this registration statement if and to the extent provided in such document.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ectPr>
          <w:pgSz w:w="11900" w:h="16838" w:orient="portrait"/>
          <w:cols w:equalWidth="0" w:num="1">
            <w:col w:w="10880"/>
          </w:cols>
          <w:pgMar w:left="500" w:top="264" w:right="519" w:bottom="1440" w:gutter="0" w:footer="0" w:header="0"/>
        </w:sectPr>
      </w:pPr>
    </w:p>
    <w:p>
      <w:pPr>
        <w:spacing w:after="0" w:line="332"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312"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129" w:lineRule="exact"/>
        <w:rPr>
          <w:rFonts w:ascii="Times New Roman" w:cs="Times New Roman" w:eastAsia="Times New Roman" w:hAnsi="Times New Roman"/>
          <w:sz w:val="18"/>
          <w:szCs w:val="18"/>
          <w:color w:val="0000EE"/>
        </w:rPr>
      </w:pPr>
    </w:p>
    <w:p>
      <w:pPr>
        <w:sectPr>
          <w:pgSz w:w="11900" w:h="16838" w:orient="portrait"/>
          <w:cols w:equalWidth="0" w:num="2">
            <w:col w:w="520" w:space="440"/>
            <w:col w:w="9920"/>
          </w:cols>
          <w:pgMar w:left="500" w:top="264" w:right="51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80"/>
          </w:cols>
          <w:pgMar w:left="500" w:top="264" w:right="519" w:bottom="1440" w:gutter="0" w:footer="0" w:header="0"/>
          <w:type w:val="continuous"/>
        </w:sectPr>
      </w:pPr>
    </w:p>
    <w:p>
      <w:pPr>
        <w:spacing w:after="0" w:line="375"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355"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Interests of Named Experts and Counsel</w:t>
      </w:r>
    </w:p>
    <w:p>
      <w:pPr>
        <w:spacing w:after="0" w:line="129" w:lineRule="exact"/>
        <w:rPr>
          <w:rFonts w:ascii="Times New Roman" w:cs="Times New Roman" w:eastAsia="Times New Roman" w:hAnsi="Times New Roman"/>
          <w:sz w:val="18"/>
          <w:szCs w:val="18"/>
          <w:color w:val="0000EE"/>
        </w:rPr>
      </w:pPr>
    </w:p>
    <w:p>
      <w:pPr>
        <w:sectPr>
          <w:pgSz w:w="11900" w:h="16838" w:orient="portrait"/>
          <w:cols w:equalWidth="0" w:num="2">
            <w:col w:w="520" w:space="440"/>
            <w:col w:w="9920"/>
          </w:cols>
          <w:pgMar w:left="500" w:top="264" w:right="51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80"/>
          </w:cols>
          <w:pgMar w:left="500" w:top="264" w:right="519" w:bottom="1440" w:gutter="0" w:footer="0" w:header="0"/>
          <w:type w:val="continuous"/>
        </w:sectPr>
      </w:pPr>
    </w:p>
    <w:p>
      <w:pPr>
        <w:spacing w:after="0" w:line="375"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355"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129" w:lineRule="exact"/>
        <w:rPr>
          <w:rFonts w:ascii="Times New Roman" w:cs="Times New Roman" w:eastAsia="Times New Roman" w:hAnsi="Times New Roman"/>
          <w:sz w:val="18"/>
          <w:szCs w:val="18"/>
          <w:color w:val="0000EE"/>
        </w:rPr>
      </w:pPr>
    </w:p>
    <w:p>
      <w:pPr>
        <w:sectPr>
          <w:pgSz w:w="11900" w:h="16838" w:orient="portrait"/>
          <w:cols w:equalWidth="0" w:num="2">
            <w:col w:w="520" w:space="440"/>
            <w:col w:w="9920"/>
          </w:cols>
          <w:pgMar w:left="500" w:top="264" w:right="519" w:bottom="1440" w:gutter="0" w:footer="0" w:header="0"/>
          <w:type w:val="continuous"/>
        </w:sectPr>
      </w:pPr>
    </w:p>
    <w:p>
      <w:pPr>
        <w:ind w:right="260" w:firstLine="436"/>
        <w:spacing w:after="0" w:line="25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seventh amended and restated articles of association, adopted by special resolution on June 26, 2023, provided that the Registrant may indemnify its directors and officers against all actions, proceedings, costs, charges, expenses, losses, damages or liabilities incurred or sustained by such persons in their capacity as such, except through their own dishonesty, wilful default or fraud.</w:t>
      </w:r>
    </w:p>
    <w:p>
      <w:pPr>
        <w:spacing w:after="0" w:line="12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4" w:right="519" w:bottom="1440" w:gutter="0" w:footer="0" w:header="0"/>
          <w:type w:val="continuous"/>
        </w:sectPr>
      </w:pPr>
    </w:p>
    <w:bookmarkStart w:id="3" w:name="page4"/>
    <w:bookmarkEnd w:id="3"/>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Pursuant to the indemnification agreements, the form of which was filed as Exhibit 10.3 to the Registrant’s registration statement on Form F-1, as amended (File No. 333-192085), the Registrant has agreed to indemnify its directors and officers against certain liabilities and expenses incurred by such persons in connection with claims made by reason of their being such a director or officer.</w:t>
      </w:r>
    </w:p>
    <w:p>
      <w:pPr>
        <w:spacing w:after="0" w:line="177"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Pursuant to the 2026 Share Incentive Plan, filed herewith as Exhibit 10.1, the Registrant has agreed to indemnify its plan administrative committee members and other directors against certain liabilities and expenses incurred by such persons in connection with claims made by reason of any action or failure to act pursuant to the 2026 Share Incentive Plan.</w:t>
      </w:r>
    </w:p>
    <w:p>
      <w:pPr>
        <w:spacing w:after="0" w:line="177"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3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Index to Exhibits attached hereto.</w:t>
      </w:r>
    </w:p>
    <w:p>
      <w:pPr>
        <w:spacing w:after="0" w:line="36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1" w:lineRule="exact"/>
        <w:rPr>
          <w:sz w:val="20"/>
          <w:szCs w:val="20"/>
          <w:color w:val="auto"/>
        </w:rPr>
      </w:pPr>
    </w:p>
    <w:p>
      <w:pPr>
        <w:ind w:left="1400" w:hanging="431"/>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26" w:lineRule="exact"/>
        <w:rPr>
          <w:rFonts w:ascii="Times New Roman" w:cs="Times New Roman" w:eastAsia="Times New Roman" w:hAnsi="Times New Roman"/>
          <w:sz w:val="18"/>
          <w:szCs w:val="18"/>
          <w:color w:val="auto"/>
        </w:rPr>
      </w:pPr>
    </w:p>
    <w:p>
      <w:pPr>
        <w:ind w:left="1940" w:hanging="530"/>
        <w:spacing w:after="0"/>
        <w:tabs>
          <w:tab w:leader="none" w:pos="19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38" w:lineRule="exact"/>
        <w:rPr>
          <w:rFonts w:ascii="Times New Roman" w:cs="Times New Roman" w:eastAsia="Times New Roman" w:hAnsi="Times New Roman"/>
          <w:sz w:val="17"/>
          <w:szCs w:val="17"/>
          <w:color w:val="auto"/>
        </w:rPr>
      </w:pPr>
    </w:p>
    <w:p>
      <w:pPr>
        <w:ind w:left="2380" w:hanging="436"/>
        <w:spacing w:after="0"/>
        <w:tabs>
          <w:tab w:leader="none" w:pos="23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26" w:lineRule="exact"/>
        <w:rPr>
          <w:rFonts w:ascii="Times New Roman" w:cs="Times New Roman" w:eastAsia="Times New Roman" w:hAnsi="Times New Roman"/>
          <w:sz w:val="18"/>
          <w:szCs w:val="18"/>
          <w:color w:val="auto"/>
        </w:rPr>
      </w:pPr>
    </w:p>
    <w:p>
      <w:pPr>
        <w:ind w:left="2380" w:right="100" w:hanging="436"/>
        <w:spacing w:after="0" w:line="262" w:lineRule="auto"/>
        <w:tabs>
          <w:tab w:leader="none" w:pos="23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83" w:lineRule="exact"/>
        <w:rPr>
          <w:rFonts w:ascii="Times New Roman" w:cs="Times New Roman" w:eastAsia="Times New Roman" w:hAnsi="Times New Roman"/>
          <w:sz w:val="18"/>
          <w:szCs w:val="18"/>
          <w:color w:val="auto"/>
        </w:rPr>
      </w:pPr>
    </w:p>
    <w:p>
      <w:pPr>
        <w:ind w:left="2380" w:right="140" w:hanging="436"/>
        <w:spacing w:after="0" w:line="277" w:lineRule="auto"/>
        <w:tabs>
          <w:tab w:leader="none" w:pos="23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that information in the registration statement;</w:t>
      </w:r>
    </w:p>
    <w:p>
      <w:pPr>
        <w:spacing w:after="0" w:line="55" w:lineRule="exact"/>
        <w:rPr>
          <w:sz w:val="20"/>
          <w:szCs w:val="20"/>
          <w:color w:val="auto"/>
        </w:rPr>
      </w:pPr>
    </w:p>
    <w:p>
      <w:pPr>
        <w:jc w:val="both"/>
        <w:ind w:left="980" w:right="60"/>
        <w:spacing w:after="0" w:line="26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83" w:lineRule="exact"/>
        <w:rPr>
          <w:sz w:val="20"/>
          <w:szCs w:val="20"/>
          <w:color w:val="auto"/>
        </w:rPr>
      </w:pPr>
    </w:p>
    <w:p>
      <w:pPr>
        <w:ind w:left="1940" w:right="100" w:hanging="530"/>
        <w:spacing w:after="0" w:line="262" w:lineRule="auto"/>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3" w:lineRule="exact"/>
        <w:rPr>
          <w:rFonts w:ascii="Times New Roman" w:cs="Times New Roman" w:eastAsia="Times New Roman" w:hAnsi="Times New Roman"/>
          <w:sz w:val="18"/>
          <w:szCs w:val="18"/>
          <w:color w:val="auto"/>
        </w:rPr>
      </w:pPr>
    </w:p>
    <w:p>
      <w:pPr>
        <w:ind w:left="1940" w:right="320" w:hanging="530"/>
        <w:spacing w:after="0" w:line="277" w:lineRule="auto"/>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68" w:right="519" w:bottom="1440" w:gutter="0" w:footer="0" w:header="0"/>
        </w:sectPr>
      </w:pPr>
    </w:p>
    <w:bookmarkStart w:id="4" w:name="page5"/>
    <w:bookmarkEnd w:id="4"/>
    <w:p>
      <w:pPr>
        <w:ind w:left="460" w:hanging="431"/>
        <w:spacing w:after="0" w:line="25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Times New Roman" w:cs="Times New Roman" w:eastAsia="Times New Roman" w:hAnsi="Times New Roman"/>
          <w:sz w:val="18"/>
          <w:szCs w:val="18"/>
          <w:color w:val="auto"/>
        </w:rPr>
      </w:pPr>
    </w:p>
    <w:p>
      <w:pPr>
        <w:ind w:left="460" w:right="80" w:hanging="431"/>
        <w:spacing w:after="0" w:line="25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880"/>
          </w:cols>
          <w:pgMar w:left="1440" w:top="268" w:right="579" w:bottom="1440" w:gutter="0" w:footer="0" w:header="0"/>
        </w:sectPr>
      </w:pPr>
    </w:p>
    <w:bookmarkStart w:id="5" w:name="page6"/>
    <w:bookmarkEnd w:id="5"/>
    <w:tbl>
      <w:tblPr>
        <w:tblLayout w:type="fixed"/>
        <w:tblInd w:w="6"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2"/>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4"/>
                <w:szCs w:val="24"/>
                <w:color w:val="auto"/>
              </w:rPr>
            </w:pPr>
          </w:p>
        </w:tc>
        <w:tc>
          <w:tcPr>
            <w:tcW w:w="9980" w:type="dxa"/>
            <w:vAlign w:val="bottom"/>
            <w:vMerge w:val="restart"/>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20" w:type="dxa"/>
            <w:vAlign w:val="bottom"/>
          </w:tcPr>
          <w:p>
            <w:pPr>
              <w:spacing w:after="0"/>
              <w:rPr>
                <w:sz w:val="15"/>
                <w:szCs w:val="15"/>
                <w:color w:val="auto"/>
              </w:rPr>
            </w:pPr>
          </w:p>
        </w:tc>
        <w:tc>
          <w:tcPr>
            <w:tcW w:w="9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jc w:val="right"/>
        <w:ind w:left="926" w:right="140" w:hanging="926"/>
        <w:spacing w:after="0" w:line="308" w:lineRule="auto"/>
        <w:tabs>
          <w:tab w:leader="none" w:pos="93" w:val="left"/>
        </w:tabs>
        <w:numPr>
          <w:ilvl w:val="0"/>
          <w:numId w:val="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  4.1</w:t>
      </w:r>
      <w:hyperlink r:id="rId29">
        <w:r>
          <w:rPr>
            <w:rFonts w:ascii="Times New Roman" w:cs="Times New Roman" w:eastAsia="Times New Roman" w:hAnsi="Times New Roman"/>
            <w:sz w:val="17"/>
            <w:szCs w:val="17"/>
            <w:u w:val="single" w:color="auto"/>
            <w:color w:val="0000EE"/>
          </w:rPr>
          <w:t>Seventh Amended and Restated Memorandum and Articles of Association of the Registrant, adopted on June 26, 2023 and effective as of</w:t>
        </w:r>
      </w:hyperlink>
      <w:r>
        <w:rPr>
          <w:rFonts w:ascii="Times New Roman" w:cs="Times New Roman" w:eastAsia="Times New Roman" w:hAnsi="Times New Roman"/>
          <w:sz w:val="17"/>
          <w:szCs w:val="17"/>
          <w:u w:val="single" w:color="auto"/>
          <w:color w:val="0000EE"/>
        </w:rPr>
        <w:t xml:space="preserve"> </w:t>
      </w:r>
      <w:hyperlink r:id="rId29">
        <w:r>
          <w:rPr>
            <w:rFonts w:ascii="Times New Roman" w:cs="Times New Roman" w:eastAsia="Times New Roman" w:hAnsi="Times New Roman"/>
            <w:sz w:val="17"/>
            <w:szCs w:val="17"/>
            <w:u w:val="single" w:color="auto"/>
            <w:color w:val="0000EE"/>
          </w:rPr>
          <w:t>June 26, 2023 (incorporated by reference to Exhibit 3.1 to the Form 6-K (File No. 001-36222), furnished with the SEC on June 26, 2023)</w:t>
        </w:r>
      </w:hyperlink>
    </w:p>
    <w:p>
      <w:pPr>
        <w:spacing w:after="0" w:line="32" w:lineRule="exact"/>
        <w:rPr>
          <w:rFonts w:ascii="Times New Roman" w:cs="Times New Roman" w:eastAsia="Times New Roman" w:hAnsi="Times New Roman"/>
          <w:sz w:val="17"/>
          <w:szCs w:val="17"/>
          <w:u w:val="single" w:color="auto"/>
          <w:color w:val="0000EE"/>
        </w:rPr>
      </w:pPr>
    </w:p>
    <w:p>
      <w:pPr>
        <w:ind w:left="926" w:right="320" w:hanging="926"/>
        <w:spacing w:after="0" w:line="277" w:lineRule="auto"/>
        <w:tabs>
          <w:tab w:leader="none" w:pos="93" w:val="left"/>
        </w:tabs>
        <w:numPr>
          <w:ilvl w:val="0"/>
          <w:numId w:val="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30">
        <w:r>
          <w:rPr>
            <w:rFonts w:ascii="Times New Roman" w:cs="Times New Roman" w:eastAsia="Times New Roman" w:hAnsi="Times New Roman"/>
            <w:sz w:val="18"/>
            <w:szCs w:val="18"/>
            <w:u w:val="single" w:color="auto"/>
            <w:color w:val="0000EE"/>
          </w:rPr>
          <w:t>Registrant’s Specimen Certificate for Ordinary Shares (incorporated by reference to Exhibit 2.2 to our annual report on Form 20-F (File</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No. 001-36222), filed with the SEC on March 2, 2021)</w:t>
        </w:r>
      </w:hyperlink>
    </w:p>
    <w:p>
      <w:pPr>
        <w:spacing w:after="0" w:line="56" w:lineRule="exact"/>
        <w:rPr>
          <w:rFonts w:ascii="Times New Roman" w:cs="Times New Roman" w:eastAsia="Times New Roman" w:hAnsi="Times New Roman"/>
          <w:sz w:val="18"/>
          <w:szCs w:val="18"/>
          <w:u w:val="single" w:color="auto"/>
          <w:color w:val="0000EE"/>
        </w:rPr>
      </w:pPr>
    </w:p>
    <w:p>
      <w:pPr>
        <w:ind w:left="926" w:right="80" w:hanging="926"/>
        <w:spacing w:after="0" w:line="262" w:lineRule="auto"/>
        <w:tabs>
          <w:tab w:leader="none" w:pos="93" w:val="left"/>
        </w:tabs>
        <w:numPr>
          <w:ilvl w:val="0"/>
          <w:numId w:val="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hyperlink r:id="rId31">
        <w:r>
          <w:rPr>
            <w:rFonts w:ascii="Times New Roman" w:cs="Times New Roman" w:eastAsia="Times New Roman" w:hAnsi="Times New Roman"/>
            <w:sz w:val="18"/>
            <w:szCs w:val="18"/>
            <w:u w:val="single" w:color="auto"/>
            <w:color w:val="0000EE"/>
          </w:rPr>
          <w:t>Deposit Agreement among the Registrant, the depositary and holders of the American Depositary Receipts dated as of December 10, 2013</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(incorporated herein by reference to Exhibit 4.3 to the registration statement on Form S-8 (File No. 333-196006), filed with the Securities</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and Exchange Commission on May 16, 2014)</w:t>
        </w:r>
      </w:hyperlink>
    </w:p>
    <w:p>
      <w:pPr>
        <w:spacing w:after="0" w:line="70"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5.1*</w:t>
      </w:r>
      <w:r>
        <w:rPr>
          <w:rFonts w:ascii="Times New Roman" w:cs="Times New Roman" w:eastAsia="Times New Roman" w:hAnsi="Times New Roman"/>
          <w:sz w:val="17"/>
          <w:szCs w:val="17"/>
          <w:u w:val="single" w:color="auto"/>
          <w:color w:val="0000EE"/>
        </w:rPr>
        <w:t>Maples and Calder (Hong Kong) LLP (regarding validity of Ordinary Shares being registered)</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w:t>
      </w:r>
      <w:r>
        <w:rPr>
          <w:rFonts w:ascii="Times New Roman" w:cs="Times New Roman" w:eastAsia="Times New Roman" w:hAnsi="Times New Roman"/>
          <w:sz w:val="17"/>
          <w:szCs w:val="17"/>
          <w:u w:val="single" w:color="auto"/>
          <w:color w:val="0000EE"/>
        </w:rPr>
        <w:t>2026 Share Incentive Plan, effective on May 29, 2026</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r>
        <w:rPr>
          <w:rFonts w:ascii="Times New Roman" w:cs="Times New Roman" w:eastAsia="Times New Roman" w:hAnsi="Times New Roman"/>
          <w:sz w:val="17"/>
          <w:szCs w:val="17"/>
          <w:u w:val="single" w:color="auto"/>
          <w:color w:val="0000EE"/>
        </w:rPr>
        <w:t>Consent of Maples and Calder (Hong Kong) LLP (included in its opinion filed as Exhibit 5.1)</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w:t>
      </w:r>
      <w:r>
        <w:rPr>
          <w:rFonts w:ascii="Times New Roman" w:cs="Times New Roman" w:eastAsia="Times New Roman" w:hAnsi="Times New Roman"/>
          <w:sz w:val="17"/>
          <w:szCs w:val="17"/>
          <w:u w:val="single" w:color="auto"/>
          <w:color w:val="0000EE"/>
        </w:rPr>
        <w:t>Consent of PricewaterhouseCoopers Zhong Tian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w:t>
      </w:r>
      <w:r>
        <w:rPr>
          <w:rFonts w:ascii="Times New Roman" w:cs="Times New Roman" w:eastAsia="Times New Roman" w:hAnsi="Times New Roman"/>
          <w:sz w:val="17"/>
          <w:szCs w:val="17"/>
          <w:u w:val="single" w:color="auto"/>
          <w:color w:val="0000EE"/>
        </w:rPr>
        <w:t>Power of Attorney (included on the signature page hereto)</w:t>
      </w:r>
    </w:p>
    <w:p>
      <w:pPr>
        <w:spacing w:after="0" w:line="125" w:lineRule="exact"/>
        <w:rPr>
          <w:rFonts w:ascii="Times New Roman" w:cs="Times New Roman" w:eastAsia="Times New Roman" w:hAnsi="Times New Roman"/>
          <w:sz w:val="18"/>
          <w:szCs w:val="18"/>
          <w:u w:val="single" w:color="auto"/>
          <w:color w:val="0000EE"/>
        </w:rPr>
      </w:pPr>
    </w:p>
    <w:p>
      <w:pPr>
        <w:ind w:left="6"/>
        <w:spacing w:after="0"/>
        <w:tabs>
          <w:tab w:leader="none" w:pos="906"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55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4" w:lineRule="exact"/>
        <w:rPr>
          <w:rFonts w:ascii="Times New Roman" w:cs="Times New Roman" w:eastAsia="Times New Roman" w:hAnsi="Times New Roman"/>
          <w:sz w:val="18"/>
          <w:szCs w:val="18"/>
          <w:u w:val="single" w:color="auto"/>
          <w:color w:val="0000EE"/>
        </w:rPr>
      </w:pPr>
    </w:p>
    <w:p>
      <w:pPr>
        <w:ind w:left="426" w:hanging="426"/>
        <w:spacing w:after="0"/>
        <w:tabs>
          <w:tab w:leader="none" w:pos="4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54" w:lineRule="exact"/>
        <w:rPr>
          <w:rFonts w:ascii="Times New Roman" w:cs="Times New Roman" w:eastAsia="Times New Roman" w:hAnsi="Times New Roman"/>
          <w:sz w:val="18"/>
          <w:szCs w:val="18"/>
          <w:u w:val="single" w:color="auto"/>
          <w:color w:val="0000EE"/>
        </w:rPr>
      </w:pPr>
    </w:p>
    <w:p>
      <w:pPr>
        <w:jc w:val="center"/>
        <w:ind w:right="-5"/>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6"/>
          </w:cols>
          <w:pgMar w:left="494" w:top="264" w:right="4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34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People’s Republic of China, on May 29,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224" w:lineRule="exact"/>
        <w:rPr>
          <w:sz w:val="20"/>
          <w:szCs w:val="20"/>
          <w:color w:val="auto"/>
        </w:rPr>
      </w:pPr>
    </w:p>
    <w:tbl>
      <w:tblPr>
        <w:tblLayout w:type="fixed"/>
        <w:tblInd w:w="6540" w:type="dxa"/>
        <w:tblCellMar>
          <w:top w:w="0" w:type="dxa"/>
          <w:left w:w="0" w:type="dxa"/>
          <w:bottom w:w="0" w:type="dxa"/>
          <w:right w:w="0" w:type="dxa"/>
        </w:tblCellMar>
      </w:tblP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Chi Liu</w:t>
            </w: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Chi Liu</w:t>
            </w:r>
          </w:p>
        </w:tc>
      </w:t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500" w:top="264"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w:t>
      </w:r>
    </w:p>
    <w:p>
      <w:pPr>
        <w:spacing w:after="0" w:line="224" w:lineRule="exact"/>
        <w:rPr>
          <w:sz w:val="20"/>
          <w:szCs w:val="20"/>
          <w:color w:val="auto"/>
        </w:rPr>
      </w:pPr>
    </w:p>
    <w:p>
      <w:pPr>
        <w:ind w:right="160" w:firstLine="436"/>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constitute and appoint each of Chi Liu and Craig Yan Zeng as his or her true and lawful attorney-in-fact and agent, with full power of substitution and re-substitution, for and in such person’s name, place and stead, in any and all capacities, to sign any and all amendments (including post-effective amendments) to this registration statement, with all exhibits thereto, and other documents in connection therewith, with the Commission, granting unto said attorney-in-fact and agent,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189" w:lineRule="exact"/>
        <w:rPr>
          <w:sz w:val="20"/>
          <w:szCs w:val="20"/>
          <w:color w:val="auto"/>
        </w:rPr>
      </w:pPr>
    </w:p>
    <w:p>
      <w:pPr>
        <w:ind w:right="6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on May 29, 2026.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07"/>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Chi Liu</w:t>
            </w:r>
          </w:p>
        </w:tc>
        <w:tc>
          <w:tcPr>
            <w:tcW w:w="100" w:type="dxa"/>
            <w:vAlign w:val="bottom"/>
          </w:tcPr>
          <w:p>
            <w:pPr>
              <w:spacing w:after="0"/>
              <w:rPr>
                <w:sz w:val="24"/>
                <w:szCs w:val="24"/>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 of the Board of Directors and Chief Executive Officer</w:t>
            </w:r>
          </w:p>
        </w:tc>
      </w:tr>
      <w:tr>
        <w:trPr>
          <w:trHeight w:val="22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 Liu</w:t>
            </w:r>
          </w:p>
        </w:tc>
        <w:tc>
          <w:tcPr>
            <w:tcW w:w="100" w:type="dxa"/>
            <w:vAlign w:val="bottom"/>
          </w:tcPr>
          <w:p>
            <w:pPr>
              <w:spacing w:after="0"/>
              <w:rPr>
                <w:sz w:val="19"/>
                <w:szCs w:val="19"/>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422"/>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Craig Yan Zeng</w:t>
            </w:r>
          </w:p>
        </w:tc>
        <w:tc>
          <w:tcPr>
            <w:tcW w:w="100" w:type="dxa"/>
            <w:vAlign w:val="bottom"/>
          </w:tcPr>
          <w:p>
            <w:pPr>
              <w:spacing w:after="0"/>
              <w:rPr>
                <w:sz w:val="24"/>
                <w:szCs w:val="24"/>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2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Craig Yan Zeng</w:t>
            </w:r>
          </w:p>
        </w:tc>
        <w:tc>
          <w:tcPr>
            <w:tcW w:w="100" w:type="dxa"/>
            <w:vAlign w:val="bottom"/>
          </w:tcPr>
          <w:p>
            <w:pPr>
              <w:spacing w:after="0"/>
              <w:rPr>
                <w:sz w:val="19"/>
                <w:szCs w:val="19"/>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422"/>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Haishan Liang</w:t>
            </w:r>
          </w:p>
        </w:tc>
        <w:tc>
          <w:tcPr>
            <w:tcW w:w="100" w:type="dxa"/>
            <w:vAlign w:val="bottom"/>
          </w:tcPr>
          <w:p>
            <w:pPr>
              <w:spacing w:after="0"/>
              <w:rPr>
                <w:sz w:val="24"/>
                <w:szCs w:val="24"/>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Haishan Liang</w:t>
            </w:r>
          </w:p>
        </w:tc>
        <w:tc>
          <w:tcPr>
            <w:tcW w:w="10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22"/>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Quan Long</w:t>
            </w:r>
          </w:p>
        </w:tc>
        <w:tc>
          <w:tcPr>
            <w:tcW w:w="100" w:type="dxa"/>
            <w:vAlign w:val="bottom"/>
          </w:tcPr>
          <w:p>
            <w:pPr>
              <w:spacing w:after="0"/>
              <w:rPr>
                <w:sz w:val="24"/>
                <w:szCs w:val="24"/>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Quan Long</w:t>
            </w:r>
          </w:p>
        </w:tc>
        <w:tc>
          <w:tcPr>
            <w:tcW w:w="10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22"/>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Cuimei Zhang</w:t>
            </w:r>
          </w:p>
        </w:tc>
        <w:tc>
          <w:tcPr>
            <w:tcW w:w="100" w:type="dxa"/>
            <w:vAlign w:val="bottom"/>
          </w:tcPr>
          <w:p>
            <w:pPr>
              <w:spacing w:after="0"/>
              <w:rPr>
                <w:sz w:val="24"/>
                <w:szCs w:val="24"/>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Cuimei Zhang</w:t>
            </w:r>
          </w:p>
        </w:tc>
        <w:tc>
          <w:tcPr>
            <w:tcW w:w="10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22"/>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Shenglei Zhou</w:t>
            </w:r>
          </w:p>
        </w:tc>
        <w:tc>
          <w:tcPr>
            <w:tcW w:w="100" w:type="dxa"/>
            <w:vAlign w:val="bottom"/>
          </w:tcPr>
          <w:p>
            <w:pPr>
              <w:spacing w:after="0"/>
              <w:rPr>
                <w:sz w:val="24"/>
                <w:szCs w:val="24"/>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Shenglei Zhou</w:t>
            </w:r>
          </w:p>
        </w:tc>
        <w:tc>
          <w:tcPr>
            <w:tcW w:w="10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22"/>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Xing Fang</w:t>
            </w:r>
          </w:p>
        </w:tc>
        <w:tc>
          <w:tcPr>
            <w:tcW w:w="100" w:type="dxa"/>
            <w:vAlign w:val="bottom"/>
          </w:tcPr>
          <w:p>
            <w:pPr>
              <w:spacing w:after="0"/>
              <w:rPr>
                <w:sz w:val="24"/>
                <w:szCs w:val="24"/>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Xing Fang</w:t>
            </w:r>
          </w:p>
        </w:tc>
        <w:tc>
          <w:tcPr>
            <w:tcW w:w="10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22"/>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Junling Liu</w:t>
            </w:r>
          </w:p>
        </w:tc>
        <w:tc>
          <w:tcPr>
            <w:tcW w:w="100" w:type="dxa"/>
            <w:vAlign w:val="bottom"/>
          </w:tcPr>
          <w:p>
            <w:pPr>
              <w:spacing w:after="0"/>
              <w:rPr>
                <w:sz w:val="24"/>
                <w:szCs w:val="24"/>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Junling Liu</w:t>
            </w:r>
          </w:p>
        </w:tc>
        <w:tc>
          <w:tcPr>
            <w:tcW w:w="10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22"/>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Tianruo Pu</w:t>
            </w:r>
          </w:p>
        </w:tc>
        <w:tc>
          <w:tcPr>
            <w:tcW w:w="100" w:type="dxa"/>
            <w:vAlign w:val="bottom"/>
          </w:tcPr>
          <w:p>
            <w:pPr>
              <w:spacing w:after="0"/>
              <w:rPr>
                <w:sz w:val="24"/>
                <w:szCs w:val="24"/>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Tianruo Pu</w:t>
            </w:r>
          </w:p>
        </w:tc>
        <w:tc>
          <w:tcPr>
            <w:tcW w:w="10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422"/>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Dazong Wang</w:t>
            </w:r>
          </w:p>
        </w:tc>
        <w:tc>
          <w:tcPr>
            <w:tcW w:w="100" w:type="dxa"/>
            <w:vAlign w:val="bottom"/>
          </w:tcPr>
          <w:p>
            <w:pPr>
              <w:spacing w:after="0"/>
              <w:rPr>
                <w:sz w:val="24"/>
                <w:szCs w:val="24"/>
                <w:color w:val="auto"/>
              </w:rPr>
            </w:pPr>
          </w:p>
        </w:tc>
        <w:tc>
          <w:tcPr>
            <w:tcW w:w="6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Dazong Wang</w:t>
            </w:r>
          </w:p>
        </w:tc>
        <w:tc>
          <w:tcPr>
            <w:tcW w:w="100" w:type="dxa"/>
            <w:vAlign w:val="bottom"/>
          </w:tcPr>
          <w:p>
            <w:pPr>
              <w:spacing w:after="0"/>
              <w:rPr>
                <w:sz w:val="19"/>
                <w:szCs w:val="19"/>
                <w:color w:val="auto"/>
              </w:rPr>
            </w:pPr>
          </w:p>
        </w:tc>
        <w:tc>
          <w:tcPr>
            <w:tcW w:w="6580" w:type="dxa"/>
            <w:vAlign w:val="bottom"/>
          </w:tcPr>
          <w:p>
            <w:pPr>
              <w:spacing w:after="0"/>
              <w:rPr>
                <w:sz w:val="19"/>
                <w:szCs w:val="19"/>
                <w:color w:val="auto"/>
              </w:rPr>
            </w:pPr>
          </w:p>
        </w:tc>
      </w:tr>
      <w:tr>
        <w:trPr>
          <w:trHeight w:val="356"/>
        </w:trPr>
        <w:tc>
          <w:tcPr>
            <w:tcW w:w="4220" w:type="dxa"/>
            <w:vAlign w:val="bottom"/>
          </w:tcPr>
          <w:p>
            <w:pPr>
              <w:spacing w:after="0"/>
              <w:rPr>
                <w:sz w:val="24"/>
                <w:szCs w:val="24"/>
                <w:color w:val="auto"/>
              </w:rPr>
            </w:pPr>
          </w:p>
        </w:tc>
        <w:tc>
          <w:tcPr>
            <w:tcW w:w="6680" w:type="dxa"/>
            <w:vAlign w:val="bottom"/>
            <w:gridSpan w:val="2"/>
          </w:tcPr>
          <w:p>
            <w:pPr>
              <w:jc w:val="right"/>
              <w:ind w:right="5332"/>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0900"/>
          </w:cols>
          <w:pgMar w:left="500" w:top="264" w:right="499" w:bottom="1440" w:gutter="0" w:footer="0" w:header="0"/>
        </w:sectPr>
      </w:pPr>
    </w:p>
    <w:bookmarkStart w:id="8" w:name="page9"/>
    <w:bookmarkEnd w:id="8"/>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 OF AUTHORIZED REPRESENTATIVE IN THE UNITED STATES</w:t>
      </w:r>
    </w:p>
    <w:p>
      <w:pPr>
        <w:spacing w:after="0" w:line="224"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CCS Global Solutions, Inc. has signed this registration statement or amendment thereto in Albany, New York on May 29, 2026.</w:t>
      </w:r>
    </w:p>
    <w:p>
      <w:pPr>
        <w:spacing w:after="0" w:line="18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CCS Global Solutions, Inc.</w:t>
      </w:r>
    </w:p>
    <w:p>
      <w:pPr>
        <w:spacing w:after="0" w:line="215"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Kelly Hemphill</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Kelly Hemphill</w:t>
      </w:r>
    </w:p>
    <w:p>
      <w:pPr>
        <w:spacing w:after="0" w:line="7"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tab/>
        <w:t>Assistant Secretary</w:t>
      </w:r>
    </w:p>
    <w:p>
      <w:pPr>
        <w:spacing w:after="0" w:line="13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340"/>
          </w:cols>
          <w:pgMar w:left="500" w:top="264" w:right="10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831215" cy="797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83121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
        <w:spacing w:after="0"/>
        <w:tabs>
          <w:tab w:leader="none" w:pos="966" w:val="left"/>
        </w:tabs>
        <w:rPr>
          <w:sz w:val="20"/>
          <w:szCs w:val="20"/>
          <w:color w:val="auto"/>
        </w:rPr>
      </w:pPr>
      <w:r>
        <w:rPr>
          <w:rFonts w:ascii="Times New Roman" w:cs="Times New Roman" w:eastAsia="Times New Roman" w:hAnsi="Times New Roman"/>
          <w:sz w:val="18"/>
          <w:szCs w:val="18"/>
          <w:color w:val="auto"/>
        </w:rPr>
        <w:t>Our ref</w:t>
      </w:r>
      <w:r>
        <w:rPr>
          <w:sz w:val="20"/>
          <w:szCs w:val="20"/>
          <w:color w:val="auto"/>
        </w:rPr>
        <w:tab/>
      </w:r>
      <w:r>
        <w:rPr>
          <w:rFonts w:ascii="Times New Roman" w:cs="Times New Roman" w:eastAsia="Times New Roman" w:hAnsi="Times New Roman"/>
          <w:sz w:val="17"/>
          <w:szCs w:val="17"/>
          <w:color w:val="auto"/>
        </w:rPr>
        <w:t>KKZ/730005-000010/86557581v1</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Autohome Inc.</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18th Floor, Tower B, CEC Plaza</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No. 3 Dan Ling Street</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Hai Dan District</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Beijing 10080</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China</w:t>
      </w: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29 May 2026</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Autohome Inc. (the “Company”)</w:t>
      </w:r>
    </w:p>
    <w:p>
      <w:pPr>
        <w:spacing w:after="0" w:line="118" w:lineRule="exact"/>
        <w:rPr>
          <w:sz w:val="20"/>
          <w:szCs w:val="20"/>
          <w:color w:val="auto"/>
        </w:rPr>
      </w:pPr>
    </w:p>
    <w:p>
      <w:pPr>
        <w:ind w:left="6" w:right="60"/>
        <w:spacing w:after="0" w:line="271" w:lineRule="auto"/>
        <w:rPr>
          <w:sz w:val="20"/>
          <w:szCs w:val="20"/>
          <w:color w:val="auto"/>
        </w:rPr>
      </w:pPr>
      <w:r>
        <w:rPr>
          <w:rFonts w:ascii="Times New Roman" w:cs="Times New Roman" w:eastAsia="Times New Roman" w:hAnsi="Times New Roman"/>
          <w:sz w:val="17"/>
          <w:szCs w:val="17"/>
          <w:color w:val="auto"/>
        </w:rPr>
        <w:t>We have acted as Cayman Islands legal counsel to the Company in connection with a registration statement on Form S-8 to be filed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on 29 May 2026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which term does not include any other document or agreement whether or not specifically referred to therein or attached as an exhibit or schedule thereto) relating to the registration under the United States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of 31,200,000 ordinary shares of a par value of US$0.0025 each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issuable by the Company pursuant to the 2026 Share Incentive Plan adopted by the directors of the Company on 29 May 2026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which term does not include any other document or agreement whether or not specifically referred to therein or attached as an exhibit or schedule thereto).</w:t>
      </w:r>
    </w:p>
    <w:p>
      <w:pPr>
        <w:spacing w:after="0" w:line="172" w:lineRule="exact"/>
        <w:rPr>
          <w:sz w:val="20"/>
          <w:szCs w:val="20"/>
          <w:color w:val="auto"/>
        </w:rPr>
      </w:pPr>
    </w:p>
    <w:p>
      <w:pPr>
        <w:ind w:left="6" w:right="280"/>
        <w:spacing w:after="0" w:line="262" w:lineRule="auto"/>
        <w:rPr>
          <w:sz w:val="20"/>
          <w:szCs w:val="20"/>
          <w:color w:val="auto"/>
        </w:rPr>
      </w:pPr>
      <w:r>
        <w:rPr>
          <w:rFonts w:ascii="Times New Roman" w:cs="Times New Roman" w:eastAsia="Times New Roman" w:hAnsi="Times New Roman"/>
          <w:sz w:val="18"/>
          <w:szCs w:val="18"/>
          <w:color w:val="auto"/>
        </w:rPr>
        <w:t>For the purposes of giving this opinion, we have examined copies of the Registration Statement and the Plan. We have also reviewed copies of the seventh amended and restated memorandum and articles of association of the Company as adopted by special resolution passed on 26 June 2023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 and the written resolutions of the board of directors of the Company dated 10 May 2023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6" w:right="20"/>
        <w:spacing w:after="0" w:line="277" w:lineRule="auto"/>
        <w:rPr>
          <w:sz w:val="20"/>
          <w:szCs w:val="20"/>
          <w:color w:val="auto"/>
        </w:rPr>
      </w:pPr>
      <w:r>
        <w:rPr>
          <w:rFonts w:ascii="Times New Roman" w:cs="Times New Roman" w:eastAsia="Times New Roman" w:hAnsi="Times New Roman"/>
          <w:sz w:val="18"/>
          <w:szCs w:val="18"/>
          <w:color w:val="auto"/>
        </w:rPr>
        <w:t>Based upon, and subject to, the assumptions and qualifications set out below, and having regard to such legal considerations as we deem relevant, we are of the opinion that:</w:t>
      </w:r>
    </w:p>
    <w:p>
      <w:pPr>
        <w:spacing w:after="0" w:line="70" w:lineRule="exact"/>
        <w:rPr>
          <w:sz w:val="20"/>
          <w:szCs w:val="20"/>
          <w:color w:val="auto"/>
        </w:rPr>
      </w:pPr>
    </w:p>
    <w:p>
      <w:pPr>
        <w:ind w:left="426" w:hanging="426"/>
        <w:spacing w:after="0"/>
        <w:tabs>
          <w:tab w:leader="none" w:pos="4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by the Company have been duly and validly authorized.</w:t>
      </w:r>
    </w:p>
    <w:p>
      <w:pPr>
        <w:spacing w:after="0" w:line="126" w:lineRule="exact"/>
        <w:rPr>
          <w:rFonts w:ascii="Times New Roman" w:cs="Times New Roman" w:eastAsia="Times New Roman" w:hAnsi="Times New Roman"/>
          <w:sz w:val="18"/>
          <w:szCs w:val="18"/>
          <w:color w:val="auto"/>
        </w:rPr>
      </w:pPr>
    </w:p>
    <w:p>
      <w:pPr>
        <w:ind w:left="426" w:right="60" w:hanging="426"/>
        <w:spacing w:after="0" w:line="277" w:lineRule="auto"/>
        <w:tabs>
          <w:tab w:leader="none" w:pos="4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and paid for in accordance with the terms of the Plan and in accordance with the Resolutions, and appropriate entries are made in the register of members (shareholders) of the Company, the Shares will be validly issued, fully paid and non-assessable.</w:t>
      </w:r>
    </w:p>
    <w:p>
      <w:pPr>
        <w:sectPr>
          <w:pgSz w:w="11900" w:h="16838" w:orient="portrait"/>
          <w:cols w:equalWidth="0" w:num="1">
            <w:col w:w="10906"/>
          </w:cols>
          <w:pgMar w:left="494" w:top="117" w:right="499" w:bottom="1440" w:gutter="0" w:footer="0" w:header="0"/>
        </w:sectPr>
      </w:pPr>
    </w:p>
    <w:bookmarkStart w:id="10" w:name="page11"/>
    <w:bookmarkEnd w:id="1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this opinion letter, the phrase “non-assessable”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 These opinions are subject to the qualification that under the Companies Act (As Revised) of the Cayman Islands (the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 register of members of a Cayman Islands company is by statute regarded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of any matters which the Companies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directs or authorises to be inserted therein. A third party interest in the Shares would not appear. An entry in the register of members may yield to a court order for rectification (for example, in the event of fraud or manifest error).</w:t>
      </w:r>
    </w:p>
    <w:p>
      <w:pPr>
        <w:spacing w:after="0" w:line="189"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7"/>
          <w:szCs w:val="17"/>
          <w:color w:val="auto"/>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spacing w:after="0" w:line="15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where a document has been provided to us in draft or undated form, it will be duly executed, dated and unconditionally delivered in the same form as the last version provided to us, (d) the Memorandum and Articles remain in full force and effect and are unamended, (e) the Resolutions were duly passed in the manner prescribed in the memorandum and articles of association of the Company effective at the relevant time (including, without limitation, with respect to the disclosure of interests (if any) by directors of the Company) and have not been amended, varied or revoked in any respect, (f) there is nothing under any law (other than the laws of the Cayman Islands) which would or might affect the opinions set out above, (f) there is nothing contained in the minute book or corporate records of the Company (which we have not inspected) which would or might affect the opinions set out above, and (g) upon the issue of any Shares, the Company will receive consideration which shall be equal to at least the par value of such Shares.</w:t>
      </w:r>
    </w:p>
    <w:p>
      <w:pPr>
        <w:spacing w:after="0" w:line="18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8" w:right="51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2026 SHARE INCENTIVE PLAN</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4" w:lineRule="exact"/>
        <w:rPr>
          <w:sz w:val="20"/>
          <w:szCs w:val="20"/>
          <w:color w:val="auto"/>
        </w:rPr>
      </w:pPr>
    </w:p>
    <w:p>
      <w:pPr>
        <w:ind w:left="6" w:right="100" w:firstLine="436"/>
        <w:spacing w:after="0" w:line="253" w:lineRule="auto"/>
        <w:rPr>
          <w:sz w:val="20"/>
          <w:szCs w:val="20"/>
          <w:color w:val="auto"/>
        </w:rPr>
      </w:pPr>
      <w:r>
        <w:rPr>
          <w:rFonts w:ascii="Times New Roman" w:cs="Times New Roman" w:eastAsia="Times New Roman" w:hAnsi="Times New Roman"/>
          <w:sz w:val="18"/>
          <w:szCs w:val="18"/>
          <w:color w:val="auto"/>
        </w:rPr>
        <w:t>The purpose of the Autohome Inc. 2026 Share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promote the success and enhance the value of Autohome Inc., an exempted company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linking the personal interests of the Directors,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Directors, Employees, and Consultants upon whose judgment, interest, and special effort the successful conduct of the Company’s operation is largely dependent.</w:t>
      </w:r>
    </w:p>
    <w:p>
      <w:pPr>
        <w:spacing w:after="0" w:line="3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2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singular pronoun shall include the plural where the context so indicates.</w:t>
      </w:r>
    </w:p>
    <w:p>
      <w:pPr>
        <w:spacing w:after="0" w:line="95" w:lineRule="exact"/>
        <w:rPr>
          <w:sz w:val="20"/>
          <w:szCs w:val="20"/>
          <w:color w:val="auto"/>
        </w:rPr>
      </w:pPr>
    </w:p>
    <w:p>
      <w:pPr>
        <w:ind w:left="6" w:right="180" w:firstLine="436"/>
        <w:spacing w:after="0" w:line="26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spacing w:after="0" w:line="70" w:lineRule="exact"/>
        <w:rPr>
          <w:sz w:val="20"/>
          <w:szCs w:val="20"/>
          <w:color w:val="auto"/>
        </w:rPr>
      </w:pPr>
    </w:p>
    <w:p>
      <w:pPr>
        <w:ind w:left="6" w:right="180" w:firstLine="436"/>
        <w:spacing w:after="0" w:line="277"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Option, Restricted Share or Restricted Share Unit award and share appreciation rights granted to a Participant pursuant to the Plan.</w:t>
      </w:r>
    </w:p>
    <w:p>
      <w:pPr>
        <w:spacing w:after="0" w:line="57" w:lineRule="exact"/>
        <w:rPr>
          <w:sz w:val="20"/>
          <w:szCs w:val="20"/>
          <w:color w:val="auto"/>
        </w:rPr>
      </w:pPr>
    </w:p>
    <w:p>
      <w:pPr>
        <w:ind w:left="6" w:right="640" w:firstLine="436"/>
        <w:spacing w:after="0" w:line="277"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any written agreement, contract, or other instrument or document evidencing an Award, including through electronic medium.</w:t>
      </w:r>
    </w:p>
    <w:p>
      <w:pPr>
        <w:spacing w:after="0" w:line="5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14" w:lineRule="exact"/>
        <w:rPr>
          <w:sz w:val="20"/>
          <w:szCs w:val="20"/>
          <w:color w:val="auto"/>
        </w:rPr>
      </w:pPr>
    </w:p>
    <w:p>
      <w:pPr>
        <w:ind w:left="6" w:right="100" w:firstLine="436"/>
        <w:spacing w:after="0" w:line="274" w:lineRule="auto"/>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mean (i) performing an act or failing to perform any act in bad faith and to the detriment of the Company or any other Service Recipient; (ii) engaging in dishonesty, intentional misconduct or material breach of any agreement with the Company or any other Service Recipient; or</w:t>
      </w:r>
    </w:p>
    <w:p>
      <w:pPr>
        <w:ind w:left="6" w:right="200" w:hanging="6"/>
        <w:spacing w:after="0" w:line="255" w:lineRule="auto"/>
        <w:tabs>
          <w:tab w:leader="none" w:pos="3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or plea of guilty or no contest to, a felony or any other crime involving dishonesty, breach of trust, or physical or emotional harm to any person.</w:t>
      </w:r>
    </w:p>
    <w:p>
      <w:pPr>
        <w:spacing w:after="0" w:line="76"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of the United States, as amended.</w:t>
      </w:r>
    </w:p>
    <w:p>
      <w:pPr>
        <w:spacing w:after="0" w:line="11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has the meaning described in Article 10.</w:t>
      </w:r>
    </w:p>
    <w:p>
      <w:pPr>
        <w:spacing w:after="0" w:line="1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6"/>
          </w:cols>
          <w:pgMar w:left="494" w:top="117" w:right="499" w:bottom="1440" w:gutter="0" w:footer="0" w:header="0"/>
        </w:sectPr>
      </w:pPr>
    </w:p>
    <w:bookmarkStart w:id="12" w:name="page13"/>
    <w:bookmarkEnd w:id="12"/>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2.8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consultant or adviser if: (a) the consultant or adviser renders bona fide services to a Service Recipient (whether directly or indirectly, including without limitation through an engagement with a professional employer organization, employer of record or similar arrangement, and is deemed pursuant to such arrangement to be a consultant or advisor of the Service Recipient under Applicable Laws);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78" w:lineRule="exact"/>
        <w:rPr>
          <w:sz w:val="20"/>
          <w:szCs w:val="20"/>
          <w:color w:val="auto"/>
        </w:rPr>
      </w:pPr>
    </w:p>
    <w:p>
      <w:pPr>
        <w:jc w:val="both"/>
        <w:ind w:right="160" w:firstLine="436"/>
        <w:spacing w:after="0" w:line="263"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xml:space="preserve">”, unless otherwise defined in an Award Agreement, means any of the following transactions,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Committee shall determine under (d) and (e) whether multiple transactions are related, and its determination shall be final, binding and conclusive and, provided further, that the occurrence of a Trading Date shall not constitute a Corporate Transaction:</w:t>
      </w:r>
    </w:p>
    <w:p>
      <w:pPr>
        <w:spacing w:after="0" w:line="70" w:lineRule="exact"/>
        <w:rPr>
          <w:sz w:val="20"/>
          <w:szCs w:val="20"/>
          <w:color w:val="auto"/>
        </w:rPr>
      </w:pPr>
    </w:p>
    <w:p>
      <w:pPr>
        <w:ind w:firstLine="975"/>
        <w:spacing w:after="0" w:line="255" w:lineRule="auto"/>
        <w:tabs>
          <w:tab w:leader="none" w:pos="12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amalgamation, arrangement, merger or consolidation or scheme of arrangement (i) in which the Company is not the surviving entity, except for a transaction the principal purpose of which is to change the jurisdiction in which the Company is incorporated, or (ii) the holders of the voting securities of the Company immediately prior to the transaction or their respective affiliates do not continue to hold more than 50% of the combined voting power of the voting securities of the surviving entity (or, as applicable, any Parent of such surviving entity) immediately following the transaction;</w:t>
      </w:r>
    </w:p>
    <w:p>
      <w:pPr>
        <w:spacing w:after="0" w:line="75"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approve a plan of complete liquidation or dissolution of the Company;</w:t>
      </w:r>
    </w:p>
    <w:p>
      <w:pPr>
        <w:spacing w:after="0" w:line="113" w:lineRule="exact"/>
        <w:rPr>
          <w:rFonts w:ascii="Times New Roman" w:cs="Times New Roman" w:eastAsia="Times New Roman" w:hAnsi="Times New Roman"/>
          <w:sz w:val="18"/>
          <w:szCs w:val="18"/>
          <w:color w:val="auto"/>
        </w:rPr>
      </w:pPr>
    </w:p>
    <w:p>
      <w:pPr>
        <w:ind w:right="40" w:firstLine="975"/>
        <w:spacing w:after="0" w:line="252" w:lineRule="auto"/>
        <w:tabs>
          <w:tab w:leader="none" w:pos="12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(other than to an affiliate)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81" w:lineRule="exact"/>
        <w:rPr>
          <w:rFonts w:ascii="Times New Roman" w:cs="Times New Roman" w:eastAsia="Times New Roman" w:hAnsi="Times New Roman"/>
          <w:sz w:val="18"/>
          <w:szCs w:val="18"/>
          <w:color w:val="auto"/>
        </w:rPr>
      </w:pPr>
    </w:p>
    <w:p>
      <w:pPr>
        <w:ind w:right="260" w:firstLine="975"/>
        <w:spacing w:after="0" w:line="253" w:lineRule="auto"/>
        <w:tabs>
          <w:tab w:leader="none" w:pos="12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 in a single or series of related transactions by any person or related group of persons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of the following acquisitions shall not be deemed to be a Corporate Transaction: (1) by the Company, any Parent, Subsidiary or Related Entity, (2) by any employee benefit plan (or related trust) sponsored or maintained by the Company, any Parent, Subsidiary or Related Entity, or (3) by any underwriter temporarily holding securities pursuant to an offering of such securities.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8" w:right="519" w:bottom="1440" w:gutter="0" w:footer="0" w:header="0"/>
        </w:sectPr>
      </w:pPr>
    </w:p>
    <w:bookmarkStart w:id="13" w:name="page14"/>
    <w:bookmarkEnd w:id="13"/>
    <w:p>
      <w:pPr>
        <w:ind w:right="340"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2.10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means, with respect to an Award, the date that the Award is granted and its exercise price is set (if applicable), consistent with Applicable Laws and applicable financial accounting rules.</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114"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unless otherwise defined in an Award Agreement,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Section 11.1.</w:t>
      </w:r>
    </w:p>
    <w:p>
      <w:pPr>
        <w:spacing w:after="0" w:line="114" w:lineRule="exact"/>
        <w:rPr>
          <w:sz w:val="20"/>
          <w:szCs w:val="20"/>
          <w:color w:val="auto"/>
        </w:rPr>
      </w:pPr>
    </w:p>
    <w:p>
      <w:pPr>
        <w:jc w:val="both"/>
        <w:ind w:right="500" w:firstLine="436"/>
        <w:spacing w:after="0" w:line="270" w:lineRule="auto"/>
        <w:rPr>
          <w:sz w:val="20"/>
          <w:szCs w:val="20"/>
          <w:color w:val="auto"/>
        </w:rPr>
      </w:pPr>
      <w:r>
        <w:rPr>
          <w:rFonts w:ascii="Times New Roman" w:cs="Times New Roman" w:eastAsia="Times New Roman" w:hAnsi="Times New Roman"/>
          <w:sz w:val="17"/>
          <w:szCs w:val="17"/>
          <w:color w:val="auto"/>
        </w:rPr>
        <w:t>2.14 “</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means any person employed by the Company or any Parent or Subsidiary of the Company (whether directly or indirectly, including without limitation through an engagement with a professional employer organization, employer of record or similar arrangement, and is deemed pursuant to such arrangement to be an employee of the Company, or any Parent or Subsidiary of the Company under Applicable Laws).</w:t>
      </w:r>
    </w:p>
    <w:p>
      <w:pPr>
        <w:ind w:right="60"/>
        <w:spacing w:after="0" w:line="255" w:lineRule="auto"/>
        <w:rPr>
          <w:sz w:val="20"/>
          <w:szCs w:val="20"/>
          <w:color w:val="auto"/>
        </w:rPr>
      </w:pPr>
      <w:r>
        <w:rPr>
          <w:rFonts w:ascii="Times New Roman" w:cs="Times New Roman" w:eastAsia="Times New Roman" w:hAnsi="Times New Roman"/>
          <w:sz w:val="18"/>
          <w:szCs w:val="18"/>
          <w:color w:val="auto"/>
        </w:rPr>
        <w:t>However, service solely as a Director or as a member of the board of directors of any Parent or Subsidiary of the Company, or payment of a fee for such services, will not cause a person to be considered an “Employee” for purposes of the Plan.</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of the United States, as amended.</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Shares determined as follows:</w:t>
      </w:r>
    </w:p>
    <w:p>
      <w:pPr>
        <w:spacing w:after="0" w:line="114" w:lineRule="exact"/>
        <w:rPr>
          <w:sz w:val="20"/>
          <w:szCs w:val="20"/>
          <w:color w:val="auto"/>
        </w:rPr>
      </w:pPr>
    </w:p>
    <w:p>
      <w:pPr>
        <w:ind w:right="120" w:firstLine="975"/>
        <w:spacing w:after="0" w:line="255" w:lineRule="auto"/>
        <w:tabs>
          <w:tab w:leader="none" w:pos="12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listed on one or more established stock exchanges or national market systems, including without limitation, The New York Stock Exchange or The Nasdaq Stock Market, the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8" w:right="519" w:bottom="1440" w:gutter="0" w:footer="0" w:header="0"/>
        </w:sectPr>
      </w:pPr>
    </w:p>
    <w:bookmarkStart w:id="14" w:name="page15"/>
    <w:bookmarkEnd w:id="14"/>
    <w:p>
      <w:pPr>
        <w:ind w:firstLine="975"/>
        <w:spacing w:after="0" w:line="255" w:lineRule="auto"/>
        <w:tabs>
          <w:tab w:leader="none" w:pos="12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Shares are regularly quoted on an automated quotation system (including the OTC Bulletin Board) or by a recognized securities dealer, the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75" w:lineRule="exact"/>
        <w:rPr>
          <w:rFonts w:ascii="Times New Roman" w:cs="Times New Roman" w:eastAsia="Times New Roman" w:hAnsi="Times New Roman"/>
          <w:sz w:val="18"/>
          <w:szCs w:val="18"/>
          <w:color w:val="auto"/>
        </w:rPr>
      </w:pPr>
    </w:p>
    <w:p>
      <w:pPr>
        <w:jc w:val="both"/>
        <w:ind w:right="40" w:firstLine="975"/>
        <w:spacing w:after="0" w:line="308" w:lineRule="auto"/>
        <w:tabs>
          <w:tab w:leader="none" w:pos="122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Shares of the type described in (a) and (b), above, the Fair Market Value thereof shall be determined by the Committee in good faith and in its discretion (and, if applicable, in a manner that complies with Sections 409A and 422 of the Code).</w:t>
      </w:r>
    </w:p>
    <w:p>
      <w:pPr>
        <w:spacing w:after="0" w:line="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a fiscal year of the Company.</w:t>
      </w:r>
    </w:p>
    <w:p>
      <w:pPr>
        <w:spacing w:after="0" w:line="114"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Incentive Share Option</w:t>
      </w:r>
      <w:r>
        <w:rPr>
          <w:rFonts w:ascii="Times New Roman" w:cs="Times New Roman" w:eastAsia="Times New Roman" w:hAnsi="Times New Roman"/>
          <w:sz w:val="18"/>
          <w:szCs w:val="18"/>
          <w:color w:val="auto"/>
        </w:rPr>
        <w:t>” means an Option that is intended to meet the requirements of Section 422 of the Code or any successor provision thereto.</w:t>
      </w:r>
    </w:p>
    <w:p>
      <w:pPr>
        <w:spacing w:after="0" w:line="57" w:lineRule="exact"/>
        <w:rPr>
          <w:sz w:val="20"/>
          <w:szCs w:val="20"/>
          <w:color w:val="auto"/>
        </w:rPr>
      </w:pPr>
    </w:p>
    <w:p>
      <w:pPr>
        <w:jc w:val="both"/>
        <w:ind w:right="20" w:firstLine="436"/>
        <w:spacing w:after="0" w:line="277"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means a Director who meets the independence standards under the applicable corporate governance rules of the stock exchange and any other Applicable Laws.</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Non-Qualified Share Option</w:t>
      </w:r>
      <w:r>
        <w:rPr>
          <w:rFonts w:ascii="Times New Roman" w:cs="Times New Roman" w:eastAsia="Times New Roman" w:hAnsi="Times New Roman"/>
          <w:sz w:val="18"/>
          <w:szCs w:val="18"/>
          <w:color w:val="auto"/>
        </w:rPr>
        <w:t>” means an Option that is not intended to be an Incentive Share Option.</w:t>
      </w:r>
    </w:p>
    <w:p>
      <w:pPr>
        <w:spacing w:after="0" w:line="114" w:lineRule="exact"/>
        <w:rPr>
          <w:sz w:val="20"/>
          <w:szCs w:val="20"/>
          <w:color w:val="auto"/>
        </w:rPr>
      </w:pPr>
    </w:p>
    <w:p>
      <w:pPr>
        <w:ind w:right="80" w:firstLine="436"/>
        <w:spacing w:after="0" w:line="277"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right granted to a Participant pursuant to Article 5 of the Plan to purchase a specified number of Shares at a specified price during specified time periods. An Option may be either an Incentive Share Option or a Non-Qualified Share Option.</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 person who, as a Director, a Consultant or an Employee, has been granted an Award pursuant to the Plan.</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under Section 424(e) of the Code.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Autohome Inc. 2026 Share Incentive Plan, as it may be amended from time to time.</w:t>
      </w:r>
    </w:p>
    <w:p>
      <w:pPr>
        <w:spacing w:after="0" w:line="114" w:lineRule="exact"/>
        <w:rPr>
          <w:sz w:val="20"/>
          <w:szCs w:val="20"/>
          <w:color w:val="auto"/>
        </w:rPr>
      </w:pPr>
    </w:p>
    <w:p>
      <w:pPr>
        <w:jc w:val="both"/>
        <w:ind w:right="40" w:firstLine="436"/>
        <w:spacing w:after="0" w:line="262"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means any business, corporation, partnership, limited liability company or other entity in which the Company or a Parent or Subsidiary of the Company holds a substantial ownership interest, directly or indirectly, but which is not a Subsidiary and which the Board designates as a Related Entity for purposes of the Plan.</w:t>
      </w:r>
    </w:p>
    <w:p>
      <w:pPr>
        <w:spacing w:after="0" w:line="70" w:lineRule="exact"/>
        <w:rPr>
          <w:sz w:val="20"/>
          <w:szCs w:val="20"/>
          <w:color w:val="auto"/>
        </w:rPr>
      </w:pPr>
    </w:p>
    <w:p>
      <w:pPr>
        <w:ind w:right="260" w:firstLine="436"/>
        <w:spacing w:after="0" w:line="277"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Restricted Share</w:t>
      </w:r>
      <w:r>
        <w:rPr>
          <w:rFonts w:ascii="Times New Roman" w:cs="Times New Roman" w:eastAsia="Times New Roman" w:hAnsi="Times New Roman"/>
          <w:sz w:val="18"/>
          <w:szCs w:val="18"/>
          <w:color w:val="auto"/>
        </w:rPr>
        <w:t>” means a Share awarded to a Participant pursuant to Article 6 that is subject to certain restrictions and may be subject to risk of forfeiture.</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Restricted Share Unit</w:t>
      </w:r>
      <w:r>
        <w:rPr>
          <w:rFonts w:ascii="Times New Roman" w:cs="Times New Roman" w:eastAsia="Times New Roman" w:hAnsi="Times New Roman"/>
          <w:sz w:val="18"/>
          <w:szCs w:val="18"/>
          <w:color w:val="auto"/>
        </w:rPr>
        <w:t>” means the right granted to a Participant pursuant to Article 7 to receive a Share at a future date.</w:t>
      </w:r>
    </w:p>
    <w:p>
      <w:pPr>
        <w:spacing w:after="0" w:line="15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8" w:right="499" w:bottom="1440" w:gutter="0" w:footer="0" w:header="0"/>
        </w:sectPr>
      </w:pPr>
    </w:p>
    <w:bookmarkStart w:id="15" w:name="page16"/>
    <w:bookmarkEnd w:id="15"/>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2.28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means the period during which the transfer of Restricted Shares are subject to restrictions, which restrictions may be based on the passage of time, the achievement of certain performance objectives, or the occurrence of other events as determined by the Committee, in its discretion.</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of the United States, as amended.</w:t>
      </w:r>
    </w:p>
    <w:p>
      <w:pPr>
        <w:spacing w:after="0" w:line="114" w:lineRule="exact"/>
        <w:rPr>
          <w:sz w:val="20"/>
          <w:szCs w:val="20"/>
          <w:color w:val="auto"/>
        </w:rPr>
      </w:pPr>
    </w:p>
    <w:p>
      <w:pPr>
        <w:ind w:right="60" w:firstLine="436"/>
        <w:spacing w:after="0" w:line="277"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means the Company or any Parent or Subsidiary of the Company and any Related Entity to which a Participant provides services as an Employee, a Consultant or a Director.</w:t>
      </w:r>
    </w:p>
    <w:p>
      <w:pPr>
        <w:spacing w:after="0" w:line="57" w:lineRule="exact"/>
        <w:rPr>
          <w:sz w:val="20"/>
          <w:szCs w:val="20"/>
          <w:color w:val="auto"/>
        </w:rPr>
      </w:pPr>
    </w:p>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an Ordinary Share, as defined in the seventh amended and restated memorandum and articles of association of the Company adopted by a special resolution of shareholders passed on June 26, 2023, and such other securities of the Company that may be substituted for Shares pursuant to Article 9.</w:t>
      </w:r>
    </w:p>
    <w:p>
      <w:pPr>
        <w:spacing w:after="0" w:line="70" w:lineRule="exact"/>
        <w:rPr>
          <w:sz w:val="20"/>
          <w:szCs w:val="20"/>
          <w:color w:val="auto"/>
        </w:rPr>
      </w:pPr>
    </w:p>
    <w:p>
      <w:pPr>
        <w:ind w:right="460" w:firstLine="436"/>
        <w:spacing w:after="0" w:line="277"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or other entity of which a majority of the outstanding voting shares or voting power is beneficially owned or controlled through contractual arrangements directly or indirectly by the Company.</w:t>
      </w:r>
    </w:p>
    <w:p>
      <w:pPr>
        <w:spacing w:after="0" w:line="57" w:lineRule="exact"/>
        <w:rPr>
          <w:sz w:val="20"/>
          <w:szCs w:val="20"/>
          <w:color w:val="auto"/>
        </w:rPr>
      </w:pPr>
    </w:p>
    <w:p>
      <w:pPr>
        <w:ind w:right="520" w:firstLine="436"/>
        <w:spacing w:after="0" w:line="277"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Trading Date</w:t>
      </w:r>
      <w:r>
        <w:rPr>
          <w:rFonts w:ascii="Times New Roman" w:cs="Times New Roman" w:eastAsia="Times New Roman" w:hAnsi="Times New Roman"/>
          <w:sz w:val="18"/>
          <w:szCs w:val="18"/>
          <w:color w:val="auto"/>
        </w:rPr>
        <w:t>” means the closing of the first sale to the general public of the Shares pursuant to a registration statement filed with and declared effective by the U.S. Securities and Exchange Commission under the Securities Act.</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Trading Window Days</w:t>
      </w:r>
      <w:r>
        <w:rPr>
          <w:rFonts w:ascii="Times New Roman" w:cs="Times New Roman" w:eastAsia="Times New Roman" w:hAnsi="Times New Roman"/>
          <w:sz w:val="18"/>
          <w:szCs w:val="18"/>
          <w:color w:val="auto"/>
        </w:rPr>
        <w:t>” means the days which the Participant is not prohibited by the Company’s policy from trading.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200" w:firstLine="975"/>
        <w:spacing w:after="0" w:line="277" w:lineRule="auto"/>
        <w:tabs>
          <w:tab w:leader="none" w:pos="12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Article 9 and Section 3.1(b), the maximum aggregate number of Shares which may be issued pursuant to all Awards (including Incentive Share Options) shall be 31,200,000 Shares.</w:t>
      </w:r>
    </w:p>
    <w:p>
      <w:pPr>
        <w:spacing w:after="0" w:line="56" w:lineRule="exact"/>
        <w:rPr>
          <w:rFonts w:ascii="Times New Roman" w:cs="Times New Roman" w:eastAsia="Times New Roman" w:hAnsi="Times New Roman"/>
          <w:sz w:val="18"/>
          <w:szCs w:val="18"/>
          <w:color w:val="auto"/>
        </w:rPr>
      </w:pPr>
    </w:p>
    <w:p>
      <w:pPr>
        <w:ind w:firstLine="975"/>
        <w:spacing w:after="0" w:line="251" w:lineRule="auto"/>
        <w:tabs>
          <w:tab w:leader="none" w:pos="12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Section 3.1(a). If any Restricted Shares are forfeited (by way of surrender for nil consideration) by the Participant or repurchased by the Company, such Shares may again be optioned, granted or awarded hereunder, subject to the limitations of Section 3.1(a). Notwithstanding the provisions of this Section 3.1(b), no Shares may again be optioned, granted or awarded if such action would cause an Incentive Share Option to fail to qualify under Section 422 of the Code.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68" w:right="519" w:bottom="1440" w:gutter="0" w:footer="0" w:header="0"/>
        </w:sectPr>
      </w:pPr>
    </w:p>
    <w:bookmarkStart w:id="16" w:name="page17"/>
    <w:bookmarkEnd w:id="16"/>
    <w:p>
      <w:pPr>
        <w:ind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Shares Distributed</w:t>
      </w:r>
      <w:r>
        <w:rPr>
          <w:rFonts w:ascii="Times New Roman" w:cs="Times New Roman" w:eastAsia="Times New Roman" w:hAnsi="Times New Roman"/>
          <w:sz w:val="18"/>
          <w:szCs w:val="18"/>
          <w:color w:val="auto"/>
        </w:rPr>
        <w:t>. Any Shares distributed pursuant to an Award may consist, in whole or in part, of authorized and unissued Shares, treasury shares (subject to Applicable Laws) or Shares purchased on the open market. Additionally, in the discretion of the Committee, American Depository Shares in an amount equivalent to the number of Shares which otherwise would be distributed pursuant to an Award may be distributed in lieu of Shares in settlement of any Award. If the number of Shares represented by an American Depository Share is other than on a one-to-one basis, the limitations of Section 3.1 shall be adjusted to reflect the distribution of American Depository Shares in lieu of Shares.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Persons eligible to participate in this Plan include Employees, Consultants, and all Directors, as determined by the Committee.</w:t>
      </w:r>
    </w:p>
    <w:p>
      <w:pPr>
        <w:spacing w:after="0" w:line="220" w:lineRule="exact"/>
        <w:rPr>
          <w:sz w:val="20"/>
          <w:szCs w:val="20"/>
          <w:color w:val="auto"/>
        </w:rPr>
      </w:pPr>
    </w:p>
    <w:p>
      <w:pPr>
        <w:jc w:val="both"/>
        <w:ind w:right="40" w:firstLine="436"/>
        <w:spacing w:after="0" w:line="26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Subject to the provisions of the Plan, the Committee may, from time to time, select from among all eligible individuals, those to whom Awards shall be granted and shall determine the nature and amount of each Award. Except as provided in one or more written contracts between the Company and an individual, no individual shall have any right to be granted an Award pursuant to this Plan.</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Committee is authorized to grant Options to Participants on the following terms and conditions:</w:t>
      </w:r>
    </w:p>
    <w:p>
      <w:pPr>
        <w:spacing w:after="0" w:line="114" w:lineRule="exact"/>
        <w:rPr>
          <w:sz w:val="20"/>
          <w:szCs w:val="20"/>
          <w:color w:val="auto"/>
        </w:rPr>
      </w:pPr>
    </w:p>
    <w:p>
      <w:pPr>
        <w:ind w:right="80" w:firstLine="975"/>
        <w:spacing w:after="0" w:line="262" w:lineRule="auto"/>
        <w:tabs>
          <w:tab w:leader="none" w:pos="12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the terms and provisions of the Plan, Options may be granted to Employees, Consultants or Directors at any time and from time to time as determined by the Committee. The Committee, in its sole discretion, shall determine the number of Shares subject to each Option. The Committee may grant Incentive Share Options, Non-Qualified Share Options, or a combination thereof.</w:t>
      </w:r>
    </w:p>
    <w:p>
      <w:pPr>
        <w:spacing w:after="0" w:line="70" w:lineRule="exact"/>
        <w:rPr>
          <w:rFonts w:ascii="Times New Roman" w:cs="Times New Roman" w:eastAsia="Times New Roman" w:hAnsi="Times New Roman"/>
          <w:sz w:val="18"/>
          <w:szCs w:val="18"/>
          <w:color w:val="auto"/>
        </w:rPr>
      </w:pPr>
    </w:p>
    <w:p>
      <w:pPr>
        <w:ind w:right="100" w:firstLine="975"/>
        <w:spacing w:after="0" w:line="252" w:lineRule="auto"/>
        <w:tabs>
          <w:tab w:leader="none" w:pos="12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subject to an Option shall be determined by the Committee and set forth in the Award Agreement which may be a fixed or variable price related to the Fair Market Value of the Shares, to the extent not prohibited by the Applicable Laws. The exercise price per Share subject to an Option may be amended or adjusted in the absolute discretion of the Committee, the determination of which shall be final, binding and conclusive. To the extent applicable to a Participant who receives an Option, such Participant acknowledges that any Option granted under the Plan is exempt from Section 409A of the Code only if the exercise price is at least equal to the “fair market value” of a Share on the Date of Grant as determined by the U.S. Internal Revenue Service and there is no other impermissible deferral of compensation associated with the Award.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500" w:top="268" w:right="559" w:bottom="1440" w:gutter="0" w:footer="0" w:header="0"/>
        </w:sectPr>
      </w:pPr>
    </w:p>
    <w:bookmarkStart w:id="17" w:name="page18"/>
    <w:bookmarkEnd w:id="17"/>
    <w:p>
      <w:pPr>
        <w:ind w:left="6" w:firstLine="975"/>
        <w:spacing w:after="0" w:line="251" w:lineRule="auto"/>
        <w:tabs>
          <w:tab w:leader="none" w:pos="122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Time and Conditions of Exercise; Term</w:t>
      </w:r>
      <w:r>
        <w:rPr>
          <w:rFonts w:ascii="Times New Roman" w:cs="Times New Roman" w:eastAsia="Times New Roman" w:hAnsi="Times New Roman"/>
          <w:sz w:val="18"/>
          <w:szCs w:val="18"/>
          <w:color w:val="auto"/>
        </w:rPr>
        <w:t>. The Committee shall determine the time or times at which an Option may be exercised in whole or in part. The Committee shall also determine any conditions, including performance conditions, if any, that must be satisfied before all or part of an Option may be exercised. The Committee shall determine the term of the Option, provided that the term of any Option granted under the Plan shall not exceed ten years from the Date of Grant and, provided further, that in the case of an Incentive Share Option granted to an Employee who, immediately prior to the time the Incentive Share Option is granted, owns stock representing more than ten percent (10%) of the voting power of all classes of stock of the Company or any Parent or Subsidiary of the Company, the term of the Incentive Share Option shall be no longer than five</w:t>
      </w:r>
    </w:p>
    <w:p>
      <w:pPr>
        <w:spacing w:after="0" w:line="2"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of Grant.</w:t>
      </w:r>
    </w:p>
    <w:p>
      <w:pPr>
        <w:spacing w:after="0" w:line="94" w:lineRule="exact"/>
        <w:rPr>
          <w:rFonts w:ascii="Times New Roman" w:cs="Times New Roman" w:eastAsia="Times New Roman" w:hAnsi="Times New Roman"/>
          <w:sz w:val="18"/>
          <w:szCs w:val="18"/>
          <w:color w:val="auto"/>
        </w:rPr>
      </w:pPr>
    </w:p>
    <w:p>
      <w:pPr>
        <w:ind w:left="6" w:right="40" w:firstLine="975"/>
        <w:spacing w:after="0" w:line="250" w:lineRule="auto"/>
        <w:tabs>
          <w:tab w:leader="none" w:pos="12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The Committee shall determine the methods by which the exercise price of an Option may be paid, the form of payment, including, without limitation (i) cash or check denominated in U.S. Dollars, (ii) to the extent permissible under the Applicable Laws, cash or check in Chinese Renminbi, (iii) cash or check denominated in any other local currency as approved by the Committee, (iv) a repurchase by the Company of Shares held for such period of time as may be required by the Committee in order to avoid adverse financial accounting consequences and having a Fair Market Value on the date of delivery equal to the aggregate exercise price of the Option or exercised portion thereof, and the utilization of the repurchase price as the payment of the exercise price, (v)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such proceeds is then made to the Company upon settlement of such sale, (vi) other property acceptable to the Committee with a Fair Market Value equal to the exercise price, or (vii) any combination of the foregoing. Notwithstanding any other provision of the Plan to the contrary, no Participant who is a Director or an “executive officer” of the Company within the meaning of Section 13(k) of the Exchange Act shall be permitted to pay the exercise price of an Option in any method which would violate Section 13(k) of the Exchange Act.</w:t>
      </w:r>
    </w:p>
    <w:p>
      <w:pPr>
        <w:spacing w:after="0" w:line="84" w:lineRule="exact"/>
        <w:rPr>
          <w:rFonts w:ascii="Times New Roman" w:cs="Times New Roman" w:eastAsia="Times New Roman" w:hAnsi="Times New Roman"/>
          <w:sz w:val="18"/>
          <w:szCs w:val="18"/>
          <w:color w:val="auto"/>
        </w:rPr>
      </w:pPr>
    </w:p>
    <w:p>
      <w:pPr>
        <w:ind w:left="6" w:right="400" w:firstLine="975"/>
        <w:spacing w:after="0" w:line="277" w:lineRule="auto"/>
        <w:tabs>
          <w:tab w:leader="none" w:pos="12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Grant</w:t>
      </w:r>
      <w:r>
        <w:rPr>
          <w:rFonts w:ascii="Times New Roman" w:cs="Times New Roman" w:eastAsia="Times New Roman" w:hAnsi="Times New Roman"/>
          <w:sz w:val="18"/>
          <w:szCs w:val="18"/>
          <w:color w:val="auto"/>
        </w:rPr>
        <w:t>. All Options shall be evidenced by an Award Agreement between the Company and the Participant. The Award Agreement shall include such additional provisions as may be specified by the Committee.</w:t>
      </w:r>
    </w:p>
    <w:p>
      <w:pPr>
        <w:spacing w:after="0" w:line="56" w:lineRule="exact"/>
        <w:rPr>
          <w:rFonts w:ascii="Times New Roman" w:cs="Times New Roman" w:eastAsia="Times New Roman" w:hAnsi="Times New Roman"/>
          <w:sz w:val="18"/>
          <w:szCs w:val="18"/>
          <w:color w:val="auto"/>
        </w:rPr>
      </w:pPr>
    </w:p>
    <w:p>
      <w:pPr>
        <w:ind w:left="6" w:right="420" w:firstLine="975"/>
        <w:spacing w:after="0" w:line="277" w:lineRule="auto"/>
        <w:tabs>
          <w:tab w:leader="none" w:pos="12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Except as otherwise provided in an Award Agreement or in Section 5.2 of the Plan with respect to Incentive Share Options, Options may not be exercised to any extent by anyone after the first to occur of the following events:</w:t>
      </w:r>
    </w:p>
    <w:p>
      <w:pPr>
        <w:spacing w:after="0" w:line="56" w:lineRule="exact"/>
        <w:rPr>
          <w:rFonts w:ascii="Times New Roman" w:cs="Times New Roman" w:eastAsia="Times New Roman" w:hAnsi="Times New Roman"/>
          <w:sz w:val="18"/>
          <w:szCs w:val="18"/>
          <w:color w:val="auto"/>
        </w:rPr>
      </w:pPr>
    </w:p>
    <w:p>
      <w:pPr>
        <w:ind w:left="1626" w:hanging="209"/>
        <w:spacing w:after="0"/>
        <w:tabs>
          <w:tab w:leader="none" w:pos="162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years from the Date of Grant, unless an earlier time is set in the Award Agreement;</w:t>
      </w:r>
    </w:p>
    <w:p>
      <w:pPr>
        <w:spacing w:after="0" w:line="113" w:lineRule="exact"/>
        <w:rPr>
          <w:rFonts w:ascii="Times New Roman" w:cs="Times New Roman" w:eastAsia="Times New Roman" w:hAnsi="Times New Roman"/>
          <w:sz w:val="18"/>
          <w:szCs w:val="18"/>
          <w:color w:val="auto"/>
        </w:rPr>
      </w:pPr>
    </w:p>
    <w:p>
      <w:pPr>
        <w:ind w:left="1686" w:hanging="269"/>
        <w:spacing w:after="0"/>
        <w:tabs>
          <w:tab w:leader="none" w:pos="1686"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Sixty (60) Trading Window Days after the Participant’s termination of employment and service for any reason other than Cause,</w:t>
      </w:r>
    </w:p>
    <w:p>
      <w:pPr>
        <w:spacing w:after="0" w:line="37" w:lineRule="exact"/>
        <w:rPr>
          <w:rFonts w:ascii="Times New Roman" w:cs="Times New Roman" w:eastAsia="Times New Roman" w:hAnsi="Times New Roman"/>
          <w:sz w:val="17"/>
          <w:szCs w:val="17"/>
          <w:color w:val="auto"/>
        </w:rPr>
      </w:pPr>
    </w:p>
    <w:p>
      <w:pPr>
        <w:ind w:left="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death or Disability;</w:t>
      </w:r>
    </w:p>
    <w:p>
      <w:pPr>
        <w:spacing w:after="0" w:line="13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6"/>
          </w:cols>
          <w:pgMar w:left="494" w:top="268" w:right="519" w:bottom="1440" w:gutter="0" w:footer="0" w:header="0"/>
        </w:sectPr>
      </w:pPr>
    </w:p>
    <w:bookmarkStart w:id="18" w:name="page19"/>
    <w:bookmarkEnd w:id="18"/>
    <w:p>
      <w:pPr>
        <w:ind w:left="1720" w:hanging="309"/>
        <w:spacing w:after="0"/>
        <w:tabs>
          <w:tab w:leader="none" w:pos="1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Upon the Participant’s termination of employment for Cause; and</w:t>
      </w:r>
    </w:p>
    <w:p>
      <w:pPr>
        <w:spacing w:after="0" w:line="113" w:lineRule="exact"/>
        <w:rPr>
          <w:rFonts w:ascii="Times New Roman" w:cs="Times New Roman" w:eastAsia="Times New Roman" w:hAnsi="Times New Roman"/>
          <w:sz w:val="18"/>
          <w:szCs w:val="18"/>
          <w:color w:val="auto"/>
        </w:rPr>
      </w:pPr>
    </w:p>
    <w:p>
      <w:pPr>
        <w:ind w:right="40" w:firstLine="1411"/>
        <w:spacing w:after="0" w:line="255" w:lineRule="auto"/>
        <w:tabs>
          <w:tab w:leader="none" w:pos="17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months after the date of the Participant’s termination of employment and service on account of Disability or death. Upon the Participant’s Disability or death, any Options exercisable as of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Option or dies intestate, by the person or persons entitled to receive the Option pursuant to the Applicable Laws of descent and distribution.</w:t>
      </w:r>
    </w:p>
    <w:p>
      <w:pPr>
        <w:spacing w:after="0" w:line="183"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Any Options not exercised within the period of time required pursuant to the earliest to occur of the events described in (i) – (iv) above shall terminate and the Shares covered by such Option shall revert to the Plan. In addition, except as otherwise provided in an Award Agreement, if, on the date of termination, the Participant is not vested as to his or her entire Option, the Shares covered by the unvested portion of the Option shall be forfeited by the Participant and shall immediately revert to the Plan. If the Participant’s employment is terminated for Cause, the Company has the right to cancel, forfeit (by causing the Participant to surrender, for nil consideration) and revoke the Shares underlying the exercised Options, or seek damages or compensation.</w:t>
      </w:r>
    </w:p>
    <w:p>
      <w:pPr>
        <w:spacing w:after="0" w:line="80" w:lineRule="exact"/>
        <w:rPr>
          <w:sz w:val="20"/>
          <w:szCs w:val="20"/>
          <w:color w:val="auto"/>
        </w:rPr>
      </w:pPr>
    </w:p>
    <w:p>
      <w:pPr>
        <w:ind w:right="740" w:firstLine="436"/>
        <w:spacing w:after="0" w:line="27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Incentive Share Options</w:t>
      </w:r>
      <w:r>
        <w:rPr>
          <w:rFonts w:ascii="Times New Roman" w:cs="Times New Roman" w:eastAsia="Times New Roman" w:hAnsi="Times New Roman"/>
          <w:sz w:val="18"/>
          <w:szCs w:val="18"/>
          <w:color w:val="auto"/>
        </w:rPr>
        <w:t>. Incentive Share Options, which shall be no greater than 20% of the size of the total pool, may be granted to Employees of the Company or a Parent or Subsidiary of the Company.</w:t>
      </w:r>
    </w:p>
    <w:p>
      <w:pPr>
        <w:spacing w:after="0" w:line="57" w:lineRule="exact"/>
        <w:rPr>
          <w:sz w:val="20"/>
          <w:szCs w:val="20"/>
          <w:color w:val="auto"/>
        </w:rPr>
      </w:pPr>
    </w:p>
    <w:p>
      <w:pPr>
        <w:ind w:right="40" w:firstLine="975"/>
        <w:spacing w:after="0" w:line="257" w:lineRule="auto"/>
        <w:tabs>
          <w:tab w:leader="none" w:pos="12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Dollar Limitation</w:t>
      </w:r>
      <w:r>
        <w:rPr>
          <w:rFonts w:ascii="Times New Roman" w:cs="Times New Roman" w:eastAsia="Times New Roman" w:hAnsi="Times New Roman"/>
          <w:sz w:val="18"/>
          <w:szCs w:val="18"/>
          <w:color w:val="auto"/>
        </w:rPr>
        <w:t>. The aggregate Fair Market Value (determined as of the time the Option is granted) of all Shares with respect to which Incentive Share Options are first exercisable by a Participant in any calendar year may not exceed US$100,000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75" w:lineRule="exact"/>
        <w:rPr>
          <w:rFonts w:ascii="Times New Roman" w:cs="Times New Roman" w:eastAsia="Times New Roman" w:hAnsi="Times New Roman"/>
          <w:sz w:val="18"/>
          <w:szCs w:val="18"/>
          <w:color w:val="auto"/>
        </w:rPr>
      </w:pPr>
    </w:p>
    <w:p>
      <w:pPr>
        <w:ind w:firstLine="975"/>
        <w:spacing w:after="0" w:line="257" w:lineRule="auto"/>
        <w:tabs>
          <w:tab w:leader="none" w:pos="12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an Incentive Share Option shall be equal to the Fair Market Value on the date of grant. However, the exercise price of any Incentive Share Option granted to any individual who, at the date of grant, owns Shares possessing more than ten percent of the total combined voting power of all classes of shares of the Company may not be less than 110% of Fair Market Value on the date of grant and such Option may not be exercisable for more than five years from the date of grant.</w:t>
      </w:r>
    </w:p>
    <w:p>
      <w:pPr>
        <w:spacing w:after="0" w:line="75" w:lineRule="exact"/>
        <w:rPr>
          <w:rFonts w:ascii="Times New Roman" w:cs="Times New Roman" w:eastAsia="Times New Roman" w:hAnsi="Times New Roman"/>
          <w:sz w:val="18"/>
          <w:szCs w:val="18"/>
          <w:color w:val="auto"/>
        </w:rPr>
      </w:pPr>
    </w:p>
    <w:p>
      <w:pPr>
        <w:ind w:right="80" w:firstLine="975"/>
        <w:spacing w:after="0" w:line="262" w:lineRule="auto"/>
        <w:tabs>
          <w:tab w:leader="none" w:pos="12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Disposition</w:t>
      </w:r>
      <w:r>
        <w:rPr>
          <w:rFonts w:ascii="Times New Roman" w:cs="Times New Roman" w:eastAsia="Times New Roman" w:hAnsi="Times New Roman"/>
          <w:sz w:val="18"/>
          <w:szCs w:val="18"/>
          <w:color w:val="auto"/>
        </w:rPr>
        <w:t>. The Participant shall give the Company prompt notice of any disposition of Shares acquired by exercise of an Incentive Share Option within (i) two years from the date of grant of such Incentive Share Option or (ii) one year after the transfer of such Shares to the Participant.</w:t>
      </w:r>
    </w:p>
    <w:p>
      <w:pPr>
        <w:spacing w:after="0" w:line="70" w:lineRule="exact"/>
        <w:rPr>
          <w:rFonts w:ascii="Times New Roman" w:cs="Times New Roman" w:eastAsia="Times New Roman" w:hAnsi="Times New Roman"/>
          <w:sz w:val="18"/>
          <w:szCs w:val="18"/>
          <w:color w:val="auto"/>
        </w:rPr>
      </w:pPr>
    </w:p>
    <w:p>
      <w:pPr>
        <w:ind w:right="500" w:firstLine="975"/>
        <w:spacing w:after="0" w:line="277" w:lineRule="auto"/>
        <w:tabs>
          <w:tab w:leader="none" w:pos="12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Incentive Share Options</w:t>
      </w:r>
      <w:r>
        <w:rPr>
          <w:rFonts w:ascii="Times New Roman" w:cs="Times New Roman" w:eastAsia="Times New Roman" w:hAnsi="Times New Roman"/>
          <w:sz w:val="18"/>
          <w:szCs w:val="18"/>
          <w:color w:val="auto"/>
        </w:rPr>
        <w:t>. No Award of an Incentive Share Option may be made pursuant to this Plan after the tenth anniversary of the Effective Date.</w:t>
      </w:r>
    </w:p>
    <w:p>
      <w:pPr>
        <w:spacing w:after="0" w:line="56"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During a Participant’s lifetime, an Incentive Share Option may be exercised only by the Participant.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68" w:right="5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24" w:lineRule="exact"/>
        <w:rPr>
          <w:sz w:val="20"/>
          <w:szCs w:val="20"/>
          <w:color w:val="auto"/>
        </w:rPr>
      </w:pPr>
    </w:p>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Restricted Shares</w:t>
      </w:r>
      <w:r>
        <w:rPr>
          <w:rFonts w:ascii="Times New Roman" w:cs="Times New Roman" w:eastAsia="Times New Roman" w:hAnsi="Times New Roman"/>
          <w:sz w:val="18"/>
          <w:szCs w:val="18"/>
          <w:color w:val="auto"/>
        </w:rPr>
        <w:t>. The Committee, at any time and from time to time, may grant Restricted Shares to Participants as the Committee, in its sole discretion, shall determine. The Committee, in its sole discretion, shall determine the number of Restricted Shares to be granted to each Participant.</w:t>
      </w:r>
    </w:p>
    <w:p>
      <w:pPr>
        <w:spacing w:after="0" w:line="177" w:lineRule="exact"/>
        <w:rPr>
          <w:sz w:val="20"/>
          <w:szCs w:val="20"/>
          <w:color w:val="auto"/>
        </w:rPr>
      </w:pPr>
    </w:p>
    <w:p>
      <w:pPr>
        <w:ind w:right="240" w:firstLine="436"/>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Shares Award Agreement</w:t>
      </w:r>
      <w:r>
        <w:rPr>
          <w:rFonts w:ascii="Times New Roman" w:cs="Times New Roman" w:eastAsia="Times New Roman" w:hAnsi="Times New Roman"/>
          <w:sz w:val="18"/>
          <w:szCs w:val="18"/>
          <w:color w:val="auto"/>
        </w:rPr>
        <w:t>. Each Award of Restricted Shares shall be evidenced by an Award Agreement that shall specify the Restriction Period,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spacing w:after="0" w:line="182" w:lineRule="exact"/>
        <w:rPr>
          <w:sz w:val="20"/>
          <w:szCs w:val="20"/>
          <w:color w:val="auto"/>
        </w:rPr>
      </w:pPr>
    </w:p>
    <w:p>
      <w:pPr>
        <w:ind w:right="240" w:firstLine="436"/>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Issuance and Restrictions</w:t>
      </w:r>
      <w:r>
        <w:rPr>
          <w:rFonts w:ascii="Times New Roman" w:cs="Times New Roman" w:eastAsia="Times New Roman" w:hAnsi="Times New Roman"/>
          <w:sz w:val="18"/>
          <w:szCs w:val="18"/>
          <w:color w:val="auto"/>
        </w:rPr>
        <w:t>. Restricted Shares shall be subject to such restrictions on transferability and other restrictions as the management may impose (including, without limitation, limitations on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spacing w:after="0" w:line="182" w:lineRule="exact"/>
        <w:rPr>
          <w:sz w:val="20"/>
          <w:szCs w:val="20"/>
          <w:color w:val="auto"/>
        </w:rPr>
      </w:pPr>
    </w:p>
    <w:p>
      <w:pPr>
        <w:ind w:firstLine="436"/>
        <w:spacing w:after="0" w:line="271"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Forfeiture/Repurchase</w:t>
      </w:r>
      <w:r>
        <w:rPr>
          <w:rFonts w:ascii="Times New Roman" w:cs="Times New Roman" w:eastAsia="Times New Roman" w:hAnsi="Times New Roman"/>
          <w:sz w:val="17"/>
          <w:szCs w:val="17"/>
          <w:color w:val="auto"/>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(by way of surrender for nil consideration) or repurchased in accordance with the Award Agreement;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the management may (a) provide in any Restricted Share Award Agreement that restrictions or forfeiture (by way of surrender for nil consideration) and repurchase conditions relating to Restricted Shares will be waived in whole or in part in the event of terminations resulting from specified causes, and (b) in other cases waive in whole or in part restrictions or forfeiture (by way of surrender for nil consideration) and repurchase conditions relating to Restricted Shares.</w:t>
      </w:r>
    </w:p>
    <w:p>
      <w:pPr>
        <w:spacing w:after="0" w:line="172" w:lineRule="exact"/>
        <w:rPr>
          <w:sz w:val="20"/>
          <w:szCs w:val="20"/>
          <w:color w:val="auto"/>
        </w:rPr>
      </w:pPr>
    </w:p>
    <w:p>
      <w:pPr>
        <w:ind w:right="340" w:firstLine="436"/>
        <w:spacing w:after="0" w:line="257"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Certificates for Restricted Shares</w:t>
      </w:r>
      <w:r>
        <w:rPr>
          <w:rFonts w:ascii="Times New Roman" w:cs="Times New Roman" w:eastAsia="Times New Roman" w:hAnsi="Times New Roman"/>
          <w:sz w:val="18"/>
          <w:szCs w:val="18"/>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182" w:lineRule="exact"/>
        <w:rPr>
          <w:sz w:val="20"/>
          <w:szCs w:val="20"/>
          <w:color w:val="auto"/>
        </w:rPr>
      </w:pPr>
    </w:p>
    <w:p>
      <w:pPr>
        <w:ind w:right="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Article 6, Restricted Shares granted under the Plan shall be released from escrow as soon as practicable after the last day of the Restriction Period. The Committee, in its discretion, may accelerate the time at which any restrictions shall lapse or be removed. After the restrictions have lapsed, the Participant shall be entitled to have any legend or legends under Section 6.5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500" w:top="264" w:right="49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7</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24" w:lineRule="exact"/>
        <w:rPr>
          <w:sz w:val="20"/>
          <w:szCs w:val="20"/>
          <w:color w:val="auto"/>
        </w:rPr>
      </w:pPr>
    </w:p>
    <w:p>
      <w:pPr>
        <w:ind w:right="280" w:firstLine="436"/>
        <w:spacing w:after="0" w:line="26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Grant of Restricted Share Units</w:t>
      </w:r>
      <w:r>
        <w:rPr>
          <w:rFonts w:ascii="Times New Roman" w:cs="Times New Roman" w:eastAsia="Times New Roman" w:hAnsi="Times New Roman"/>
          <w:sz w:val="18"/>
          <w:szCs w:val="18"/>
          <w:color w:val="auto"/>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spacing w:after="0" w:line="70" w:lineRule="exact"/>
        <w:rPr>
          <w:sz w:val="20"/>
          <w:szCs w:val="20"/>
          <w:color w:val="auto"/>
        </w:rPr>
      </w:pPr>
    </w:p>
    <w:p>
      <w:pPr>
        <w:jc w:val="both"/>
        <w:ind w:right="40" w:firstLine="436"/>
        <w:spacing w:after="0" w:line="26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Restricted Share Units Award Agreement</w:t>
      </w:r>
      <w:r>
        <w:rPr>
          <w:rFonts w:ascii="Times New Roman" w:cs="Times New Roman" w:eastAsia="Times New Roman" w:hAnsi="Times New Roman"/>
          <w:sz w:val="18"/>
          <w:szCs w:val="18"/>
          <w:color w:val="auto"/>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spacing w:after="0" w:line="70" w:lineRule="exact"/>
        <w:rPr>
          <w:sz w:val="20"/>
          <w:szCs w:val="20"/>
          <w:color w:val="auto"/>
        </w:rPr>
      </w:pPr>
    </w:p>
    <w:p>
      <w:pPr>
        <w:jc w:val="both"/>
        <w:ind w:right="260" w:firstLine="436"/>
        <w:spacing w:after="0" w:line="308"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Performance Objectives and Other Terms</w:t>
      </w:r>
      <w:r>
        <w:rPr>
          <w:rFonts w:ascii="Times New Roman" w:cs="Times New Roman" w:eastAsia="Times New Roman" w:hAnsi="Times New Roman"/>
          <w:sz w:val="17"/>
          <w:szCs w:val="17"/>
          <w:color w:val="auto"/>
        </w:rPr>
        <w:t>. The Committee, in its discretion, may set performance objectives or other vesting criteria which, depending on the extent to which they are met, will determine the number or value of Restricted Share Units that will be paid out to the Participants.</w:t>
      </w:r>
    </w:p>
    <w:p>
      <w:pPr>
        <w:spacing w:after="0" w:line="33" w:lineRule="exact"/>
        <w:rPr>
          <w:sz w:val="20"/>
          <w:szCs w:val="20"/>
          <w:color w:val="auto"/>
        </w:rPr>
      </w:pPr>
    </w:p>
    <w:p>
      <w:pPr>
        <w:ind w:right="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Form and Timing of Payment of Restricted Share Units</w:t>
      </w:r>
      <w:r>
        <w:rPr>
          <w:rFonts w:ascii="Times New Roman" w:cs="Times New Roman" w:eastAsia="Times New Roman" w:hAnsi="Times New Roman"/>
          <w:sz w:val="18"/>
          <w:szCs w:val="18"/>
          <w:color w:val="auto"/>
        </w:rPr>
        <w:t>. At the time of grant, the Committee shall specify the date or dates and/or event or events upon which the Restricted Share Units shall become fully vested and nonforfeitable. Upon vesting, the Committee, in its sole discretion, may pay Restricted Share Units in the form of cash, in Shares or in a combination thereof.</w:t>
      </w:r>
    </w:p>
    <w:p>
      <w:pPr>
        <w:spacing w:after="0" w:line="70"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Forfeiture/Repurchase</w:t>
      </w:r>
      <w:r>
        <w:rPr>
          <w:rFonts w:ascii="Times New Roman" w:cs="Times New Roman" w:eastAsia="Times New Roman" w:hAnsi="Times New Roman"/>
          <w:sz w:val="18"/>
          <w:szCs w:val="18"/>
          <w:color w:val="auto"/>
        </w:rPr>
        <w:t xml:space="preserve">. Except as otherwise determined by the Committee at the time of the grant of the Award or thereafter, upon termination of employment and service during the applicable restriction period, Restricted Share Units that are at that time unvested shall be forfeited or repurchased in accordance with the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Committee may (a) provide in any Restricted Share Unit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224" w:lineRule="exact"/>
        <w:rPr>
          <w:sz w:val="20"/>
          <w:szCs w:val="20"/>
          <w:color w:val="auto"/>
        </w:rPr>
      </w:pPr>
    </w:p>
    <w:p>
      <w:pPr>
        <w:ind w:right="40" w:firstLine="436"/>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4" w:right="519" w:bottom="1440" w:gutter="0" w:footer="0" w:header="0"/>
        </w:sectPr>
      </w:pPr>
    </w:p>
    <w:bookmarkStart w:id="21" w:name="page22"/>
    <w:bookmarkEnd w:id="21"/>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Limits on Transfer</w:t>
      </w:r>
      <w:r>
        <w:rPr>
          <w:rFonts w:ascii="Times New Roman" w:cs="Times New Roman" w:eastAsia="Times New Roman" w:hAnsi="Times New Roman"/>
          <w:sz w:val="18"/>
          <w:szCs w:val="18"/>
          <w:color w:val="auto"/>
        </w:rPr>
        <w:t>. No right or interest of a Participant in any Award may be pledged, encumbered, or hypothecated to or in favor of any party other than the Company or a Subsidiary, or shall be subject to any lien, obligation, or liability of such Participant to any other party other than the Company or a Subsidiary. Except as otherwise provided by the Committee, no Award shall be assigned, transferred, or otherwise disposed of by a Participant other than by will or the laws of descent and distribution. Nevertheless, an Award (other than an Incentive Share Option) can be transferred to the immediate family members of a Participant, the holding companies controlled by a Participant or his immediate family members, or trusts established for the benefit of a Participant or his family members, provided that the costs and expenses arising from or in connection with such transfer will be assumed by the Participant.</w:t>
      </w:r>
    </w:p>
    <w:p>
      <w:pPr>
        <w:spacing w:after="0" w:line="82"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Notwithstanding Section 8.2,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82" w:lineRule="exact"/>
        <w:rPr>
          <w:sz w:val="20"/>
          <w:szCs w:val="20"/>
          <w:color w:val="auto"/>
        </w:rPr>
      </w:pPr>
    </w:p>
    <w:p>
      <w:pPr>
        <w:ind w:right="40" w:firstLine="436"/>
        <w:spacing w:after="0" w:line="267"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Share Certificates</w:t>
      </w:r>
      <w:r>
        <w:rPr>
          <w:rFonts w:ascii="Times New Roman" w:cs="Times New Roman" w:eastAsia="Times New Roman" w:hAnsi="Times New Roman"/>
          <w:sz w:val="17"/>
          <w:szCs w:val="17"/>
          <w:color w:val="auto"/>
        </w:rPr>
        <w:t>. 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 All Share certificates delivered pursuant to the Plan are subject to any stop-transfer orders and other restrictions as the Committee deems necessary or advisable to comply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 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69" w:lineRule="exact"/>
        <w:rPr>
          <w:sz w:val="20"/>
          <w:szCs w:val="20"/>
          <w:color w:val="auto"/>
        </w:rPr>
      </w:pPr>
    </w:p>
    <w:p>
      <w:pPr>
        <w:ind w:right="240" w:firstLine="436"/>
        <w:spacing w:after="0" w:line="277"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Paperless Administration</w:t>
      </w:r>
      <w:r>
        <w:rPr>
          <w:rFonts w:ascii="Times New Roman" w:cs="Times New Roman" w:eastAsia="Times New Roman" w:hAnsi="Times New Roman"/>
          <w:sz w:val="18"/>
          <w:szCs w:val="18"/>
          <w:color w:val="auto"/>
        </w:rPr>
        <w:t>. Subject to Applicable Laws, the Committee may make Awards, provide applicable disclosure and procedures for exercise of Awards by an internet website or interactive voice response system for the paperless administration of Awards.</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500" w:top="268" w:right="539" w:bottom="1440" w:gutter="0" w:footer="0" w:header="0"/>
        </w:sectPr>
      </w:pPr>
    </w:p>
    <w:bookmarkStart w:id="22" w:name="page23"/>
    <w:bookmarkEnd w:id="22"/>
    <w:p>
      <w:pPr>
        <w:ind w:right="80" w:firstLine="436"/>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8.6 </w:t>
      </w:r>
      <w:r>
        <w:rPr>
          <w:rFonts w:ascii="Times New Roman" w:cs="Times New Roman" w:eastAsia="Times New Roman" w:hAnsi="Times New Roman"/>
          <w:sz w:val="17"/>
          <w:szCs w:val="17"/>
          <w:u w:val="single" w:color="auto"/>
          <w:color w:val="auto"/>
        </w:rPr>
        <w:t>Foreign Currency</w:t>
      </w:r>
      <w:r>
        <w:rPr>
          <w:rFonts w:ascii="Times New Roman" w:cs="Times New Roman" w:eastAsia="Times New Roman" w:hAnsi="Times New Roman"/>
          <w:sz w:val="17"/>
          <w:szCs w:val="17"/>
          <w:color w:val="auto"/>
        </w:rPr>
        <w:t>. A Participant may be required to provide evidence that any currency used to pay the exercise price of any Award were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jurisdictions other than the People’s Republic of China, the exchange rate as selected by the Committee on the date of exercise.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CAPITAL STRUCTURE</w:t>
      </w:r>
    </w:p>
    <w:p>
      <w:pPr>
        <w:spacing w:after="0" w:line="224"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any dividend, share split, combination or exchange of Shares, amalgamation, arrangement or consolidation, spin-off, recapitalization or other distribution (not including normal cash dividends after the Trading Date) of Company assets to its shareholders, or any other change affecting the shares of Shares or the price or value of a Share, the Committee shall consider whether there is any diminution or enlargement of the benefits intended to be made available under the Award, and then may in its sole discretion make such proportionate adjustments (if any) as it considers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(c) the grant or exercise price per share for any outstanding Awards under the Plan; and (d) in the case of a spin-off, the additional number and type of shares (including shares in the entities being spun-off) that shall be issued or an appropriate decrease of exercise price in connection with the spin-off.</w:t>
      </w:r>
    </w:p>
    <w:p>
      <w:pPr>
        <w:spacing w:after="0" w:line="82" w:lineRule="exact"/>
        <w:rPr>
          <w:sz w:val="20"/>
          <w:szCs w:val="20"/>
          <w:color w:val="auto"/>
        </w:rPr>
      </w:pPr>
    </w:p>
    <w:p>
      <w:pPr>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one or more of the following: (i) any and all Awards outstanding hereunder to terminate at a specific time in the future and shall give each Participant the right to exercise the vested portion of such Awards during a period of time as the Committee shall determine, or (ii) the termination of any Award in exchange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Award in cash based on the value of Shares on the date of the Corporate Transaction plus reasonable interest on the Award through the date when such Award would otherwise be vested or have been paid in accordance with its original terms, if necessary to comply with Section 409A of the Code. The Committee needs not take the same action or actions with respect to all Awards or portions thereof or with respect to all Participants. The Committee may take different actions with respect to the vested and unvested portions of an Award.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500" w:top="268" w:right="519" w:bottom="1440" w:gutter="0" w:footer="0" w:header="0"/>
        </w:sectPr>
      </w:pPr>
    </w:p>
    <w:bookmarkStart w:id="23" w:name="page24"/>
    <w:bookmarkEnd w:id="23"/>
    <w:p>
      <w:pPr>
        <w:ind w:firstLine="43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9.3 </w:t>
      </w:r>
      <w:r>
        <w:rPr>
          <w:rFonts w:ascii="Times New Roman" w:cs="Times New Roman" w:eastAsia="Times New Roman" w:hAnsi="Times New Roman"/>
          <w:sz w:val="18"/>
          <w:szCs w:val="18"/>
          <w:u w:val="single" w:color="auto"/>
          <w:color w:val="auto"/>
        </w:rPr>
        <w:t>Outstanding Awards – Other Changes</w:t>
      </w:r>
      <w:r>
        <w:rPr>
          <w:rFonts w:ascii="Times New Roman" w:cs="Times New Roman" w:eastAsia="Times New Roman" w:hAnsi="Times New Roman"/>
          <w:sz w:val="18"/>
          <w:szCs w:val="18"/>
          <w:color w:val="auto"/>
        </w:rPr>
        <w:t>. In the event of any other change in the capitalization of the Company or corporate change other than those specifically referred to in this Article 9, subject to Applicable Laws and the terms of the Plan, the Committee may, in its sole discretion, make such adjustments in the number and class of shares subject to Awards outstanding on the date on which such change occurs and in the per share grant or exercise price of each Award as the Committee may consider appropriate to prevent dilution or enlargement of rights.</w:t>
      </w:r>
    </w:p>
    <w:p>
      <w:pPr>
        <w:spacing w:after="0" w:line="75" w:lineRule="exact"/>
        <w:rPr>
          <w:sz w:val="20"/>
          <w:szCs w:val="20"/>
          <w:color w:val="auto"/>
        </w:rPr>
      </w:pPr>
    </w:p>
    <w:p>
      <w:pPr>
        <w:ind w:right="140" w:firstLine="436"/>
        <w:spacing w:after="0" w:line="25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4" w:lineRule="exact"/>
        <w:rPr>
          <w:sz w:val="20"/>
          <w:szCs w:val="20"/>
          <w:color w:val="auto"/>
        </w:rPr>
      </w:pPr>
    </w:p>
    <w:p>
      <w:pPr>
        <w:ind w:right="60" w:firstLine="436"/>
        <w:spacing w:after="0" w:line="25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Plan shall be administered by the Board having regard to any recommendations made to the Board by the compensation committee or if the Board has delegated the authority to the Committee members in accordance with the terms of such delegation (provided that in such case the Committee shall not grant or amend Awards to any Committee members). The term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in this Plan shall refer to the Board unless a delegation has been made by the Board to the compensation committee and in which case only to the extent of such delegation.</w:t>
      </w:r>
    </w:p>
    <w:p>
      <w:pPr>
        <w:spacing w:after="0" w:line="75" w:lineRule="exact"/>
        <w:rPr>
          <w:sz w:val="20"/>
          <w:szCs w:val="20"/>
          <w:color w:val="auto"/>
        </w:rPr>
      </w:pPr>
    </w:p>
    <w:p>
      <w:pPr>
        <w:ind w:right="80" w:firstLine="436"/>
        <w:spacing w:after="0" w:line="25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Action by the Committee</w:t>
      </w:r>
      <w:r>
        <w:rPr>
          <w:rFonts w:ascii="Times New Roman" w:cs="Times New Roman" w:eastAsia="Times New Roman" w:hAnsi="Times New Roman"/>
          <w:sz w:val="18"/>
          <w:szCs w:val="18"/>
          <w:color w:val="auto"/>
        </w:rPr>
        <w:t>. A majority of the Committee shall constitute a quorum. The acts of a majority of the members present at any meeting at which a quorum is present, or acts approved in writing by all the Committee members in lieu of a meeting, shall be deemed the acts of the Committee. Each member of the Committee is entitled to, in good faith, rely or act upon any report or other information furnished to that member by any officer or other employee of the Company or any Subsidiary or Parent of the Company, the Company’s independent certified public accountants, or any executive compensation consultant or other professional retained by the Company to assist in the administration of the Plan.</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Authority of the Committee</w:t>
      </w:r>
      <w:r>
        <w:rPr>
          <w:rFonts w:ascii="Times New Roman" w:cs="Times New Roman" w:eastAsia="Times New Roman" w:hAnsi="Times New Roman"/>
          <w:sz w:val="17"/>
          <w:szCs w:val="17"/>
          <w:color w:val="auto"/>
        </w:rPr>
        <w:t>. Subject to any specific designation in the Plan, the Committee has the exclusive power, authority and discretion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5" w:lineRule="exact"/>
        <w:rPr>
          <w:sz w:val="20"/>
          <w:szCs w:val="20"/>
          <w:color w:val="auto"/>
        </w:rPr>
      </w:pPr>
    </w:p>
    <w:p>
      <w:pPr>
        <w:ind w:left="1220" w:hanging="245"/>
        <w:spacing w:after="0"/>
        <w:tabs>
          <w:tab w:leader="none" w:pos="1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Participants to receive Awards;</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Participant;</w:t>
      </w:r>
    </w:p>
    <w:p>
      <w:pPr>
        <w:spacing w:after="0" w:line="113" w:lineRule="exact"/>
        <w:rPr>
          <w:rFonts w:ascii="Times New Roman" w:cs="Times New Roman" w:eastAsia="Times New Roman" w:hAnsi="Times New Roman"/>
          <w:sz w:val="18"/>
          <w:szCs w:val="18"/>
          <w:color w:val="auto"/>
        </w:rPr>
      </w:pPr>
    </w:p>
    <w:p>
      <w:pPr>
        <w:ind w:left="5360" w:right="2240" w:hanging="4385"/>
        <w:spacing w:after="0" w:line="447" w:lineRule="auto"/>
        <w:tabs>
          <w:tab w:leader="none" w:pos="12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Awards to be granted and the number of Shares to which an Award will relate; 13</w:t>
      </w:r>
    </w:p>
    <w:p>
      <w:pPr>
        <w:sectPr>
          <w:pgSz w:w="11900" w:h="16838" w:orient="portrait"/>
          <w:cols w:equalWidth="0" w:num="1">
            <w:col w:w="10880"/>
          </w:cols>
          <w:pgMar w:left="500" w:top="268" w:right="519" w:bottom="1440" w:gutter="0" w:footer="0" w:header="0"/>
        </w:sectPr>
      </w:pPr>
    </w:p>
    <w:bookmarkStart w:id="24" w:name="page25"/>
    <w:bookmarkEnd w:id="24"/>
    <w:p>
      <w:pPr>
        <w:ind w:right="20" w:firstLine="975"/>
        <w:spacing w:after="0" w:line="257" w:lineRule="auto"/>
        <w:tabs>
          <w:tab w:leader="none" w:pos="12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75" w:lineRule="exact"/>
        <w:rPr>
          <w:rFonts w:ascii="Times New Roman" w:cs="Times New Roman" w:eastAsia="Times New Roman" w:hAnsi="Times New Roman"/>
          <w:sz w:val="18"/>
          <w:szCs w:val="18"/>
          <w:color w:val="auto"/>
        </w:rPr>
      </w:pPr>
    </w:p>
    <w:p>
      <w:pPr>
        <w:ind w:right="60" w:firstLine="975"/>
        <w:spacing w:after="0" w:line="277" w:lineRule="auto"/>
        <w:tabs>
          <w:tab w:leader="none" w:pos="12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56"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Agreement, which need not be identical for each Participant;</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all other matters that must be determined in connection with an Award;</w:t>
      </w:r>
    </w:p>
    <w:p>
      <w:pPr>
        <w:spacing w:after="0" w:line="11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consistent with the terms of the Plan;</w:t>
      </w:r>
    </w:p>
    <w:p>
      <w:pPr>
        <w:spacing w:after="0" w:line="113" w:lineRule="exact"/>
        <w:rPr>
          <w:rFonts w:ascii="Times New Roman" w:cs="Times New Roman" w:eastAsia="Times New Roman" w:hAnsi="Times New Roman"/>
          <w:sz w:val="18"/>
          <w:szCs w:val="18"/>
          <w:color w:val="auto"/>
        </w:rPr>
      </w:pPr>
    </w:p>
    <w:p>
      <w:pPr>
        <w:ind w:left="1180" w:hanging="205"/>
        <w:spacing w:after="0"/>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rules and regulations as it may deem necessary or advisable to administer the Plan;</w:t>
      </w:r>
    </w:p>
    <w:p>
      <w:pPr>
        <w:spacing w:after="0" w:line="113" w:lineRule="exact"/>
        <w:rPr>
          <w:rFonts w:ascii="Times New Roman" w:cs="Times New Roman" w:eastAsia="Times New Roman" w:hAnsi="Times New Roman"/>
          <w:sz w:val="18"/>
          <w:szCs w:val="18"/>
          <w:color w:val="auto"/>
        </w:rPr>
      </w:pPr>
    </w:p>
    <w:p>
      <w:pPr>
        <w:ind w:firstLine="975"/>
        <w:spacing w:after="0" w:line="277" w:lineRule="auto"/>
        <w:tabs>
          <w:tab w:leader="none" w:pos="11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omission or inconsistency in the Plan or in any Award Agreement, in a manner and to the extent it deems necessary or expedient to make the Plan or Award fully effective;</w:t>
      </w:r>
    </w:p>
    <w:p>
      <w:pPr>
        <w:spacing w:after="0" w:line="56"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terms of, and any matter arising pursuant to, the Plan, any Award Agreement and any Award granted thereunder; and</w:t>
      </w:r>
    </w:p>
    <w:p>
      <w:pPr>
        <w:spacing w:after="0" w:line="113" w:lineRule="exact"/>
        <w:rPr>
          <w:rFonts w:ascii="Times New Roman" w:cs="Times New Roman" w:eastAsia="Times New Roman" w:hAnsi="Times New Roman"/>
          <w:sz w:val="18"/>
          <w:szCs w:val="18"/>
          <w:color w:val="auto"/>
        </w:rPr>
      </w:pPr>
    </w:p>
    <w:p>
      <w:pPr>
        <w:ind w:right="580" w:firstLine="975"/>
        <w:spacing w:after="0" w:line="277" w:lineRule="auto"/>
        <w:tabs>
          <w:tab w:leader="none" w:pos="11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decisions and determinations that may be required pursuant to the Plan or as the Committee deems necessary or advisable to administer the Plan.</w:t>
      </w:r>
    </w:p>
    <w:p>
      <w:pPr>
        <w:spacing w:after="0" w:line="57"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Delegation to Compensation Committee and Officer</w:t>
      </w:r>
      <w:r>
        <w:rPr>
          <w:rFonts w:ascii="Times New Roman" w:cs="Times New Roman" w:eastAsia="Times New Roman" w:hAnsi="Times New Roman"/>
          <w:sz w:val="18"/>
          <w:szCs w:val="18"/>
          <w:color w:val="auto"/>
        </w:rPr>
        <w:t>. The Board may delegate some or all of the administration of the Plan to its compensation committee. The Committee may delegate to the Chief Executive Officer of the Company the authority in relation to the administration of the Plan. Any delegation of administrative powers will be reflected in resolutions, not inconsistent with the provisions of the Plan, adopted from time to time by the Board or compensation committee (as applicable).</w:t>
      </w:r>
    </w:p>
    <w:p>
      <w:pPr>
        <w:spacing w:after="0" w:line="75" w:lineRule="exact"/>
        <w:rPr>
          <w:sz w:val="20"/>
          <w:szCs w:val="20"/>
          <w:color w:val="auto"/>
        </w:rPr>
      </w:pPr>
    </w:p>
    <w:p>
      <w:pPr>
        <w:ind w:right="36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0"/>
          </w:cols>
          <w:pgMar w:left="500" w:top="268" w:right="59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11</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AND EXPIRATION DATE</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Plan is effective as of the date the Plan is adopted and approved by the Board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24" w:lineRule="exact"/>
        <w:rPr>
          <w:sz w:val="20"/>
          <w:szCs w:val="20"/>
          <w:color w:val="auto"/>
        </w:rPr>
      </w:pPr>
    </w:p>
    <w:p>
      <w:pPr>
        <w:ind w:right="140" w:firstLine="436"/>
        <w:spacing w:after="0" w:line="253"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xml:space="preserve">. With the approval of the Board, at any time and from time to time, the Committee may terminate, amend or modify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to the extent necessary to comply with Applicable Laws, the Company shall obtain shareholder approval of any Plan amendment in such a manner and to such a degree as required, unless the Company decides to follow home country practice, and (b) unless the Company is permitted to and decides to follow home country practice, shareholder approval is required for any amendment to the Plan that (i) increases the number of Shares available under the Plan (other than any adjustment as provided by Article 9) or (ii) permits the Committee to extend the term of the Plan.</w:t>
      </w:r>
    </w:p>
    <w:p>
      <w:pPr>
        <w:spacing w:after="0" w:line="80"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Except with respect to amendments made pursuant to Section 12.1, no termination, amendment, or modification of the Plan shall adversely affect in any material way any Award previously granted pursuant to the Plan without the prior written consent of the Participant.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4" w:lineRule="exact"/>
        <w:rPr>
          <w:sz w:val="20"/>
          <w:szCs w:val="20"/>
          <w:color w:val="auto"/>
        </w:rPr>
      </w:pPr>
    </w:p>
    <w:p>
      <w:pPr>
        <w:ind w:right="44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No Rights to Awards</w:t>
      </w:r>
      <w:r>
        <w:rPr>
          <w:rFonts w:ascii="Times New Roman" w:cs="Times New Roman" w:eastAsia="Times New Roman" w:hAnsi="Times New Roman"/>
          <w:sz w:val="18"/>
          <w:szCs w:val="18"/>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57" w:lineRule="exact"/>
        <w:rPr>
          <w:sz w:val="20"/>
          <w:szCs w:val="20"/>
          <w:color w:val="auto"/>
        </w:rPr>
      </w:pPr>
    </w:p>
    <w:p>
      <w:pPr>
        <w:ind w:right="4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No Shareholders Rights</w:t>
      </w:r>
      <w:r>
        <w:rPr>
          <w:rFonts w:ascii="Times New Roman" w:cs="Times New Roman" w:eastAsia="Times New Roman" w:hAnsi="Times New Roman"/>
          <w:sz w:val="18"/>
          <w:szCs w:val="18"/>
          <w:color w:val="auto"/>
        </w:rPr>
        <w:t>. Except as otherwise determined by the Committee at the time of the grant of an Award or thereafter, no Award gives the Participant any of the rights of a Shareholder of the Company unless and until Shares are in fact issued to such person in connection with such Award.</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500" w:top="264" w:right="519" w:bottom="1440" w:gutter="0" w:footer="0" w:header="0"/>
        </w:sectPr>
      </w:pPr>
    </w:p>
    <w:bookmarkStart w:id="26" w:name="page27"/>
    <w:bookmarkEnd w:id="26"/>
    <w:p>
      <w:pPr>
        <w:ind w:firstLine="436"/>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13.3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spacing w:after="0" w:line="72" w:lineRule="exact"/>
        <w:rPr>
          <w:sz w:val="20"/>
          <w:szCs w:val="20"/>
          <w:color w:val="auto"/>
        </w:rPr>
      </w:pPr>
    </w:p>
    <w:p>
      <w:pPr>
        <w:ind w:right="2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No Right to Employment or Services</w:t>
      </w:r>
      <w:r>
        <w:rPr>
          <w:rFonts w:ascii="Times New Roman" w:cs="Times New Roman" w:eastAsia="Times New Roman" w:hAnsi="Times New Roman"/>
          <w:sz w:val="18"/>
          <w:szCs w:val="18"/>
          <w:color w:val="auto"/>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spacing w:after="0" w:line="70" w:lineRule="exact"/>
        <w:rPr>
          <w:sz w:val="20"/>
          <w:szCs w:val="20"/>
          <w:color w:val="auto"/>
        </w:rPr>
      </w:pPr>
    </w:p>
    <w:p>
      <w:pPr>
        <w:jc w:val="both"/>
        <w:ind w:right="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70" w:lineRule="exact"/>
        <w:rPr>
          <w:sz w:val="20"/>
          <w:szCs w:val="20"/>
          <w:color w:val="auto"/>
        </w:rPr>
      </w:pPr>
    </w:p>
    <w:p>
      <w:pPr>
        <w:ind w:right="120" w:firstLine="436"/>
        <w:spacing w:after="0" w:line="252"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78"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pursuant to the Plan shall be taken into account in determining any benefits pursuant to any pension, retirement, savings, profit sharing, group insurance, welfare or other benefit plan of the Company or any Subsidiary or Parent of the Company except to the extent otherwise expressly provided in writing in such other plan or an agreement thereunder.</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60"/>
          </w:cols>
          <w:pgMar w:left="500" w:top="268" w:right="53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13.8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of administering the Plan shall be borne by the Company and its Subsidiaries.</w:t>
      </w:r>
    </w:p>
    <w:p>
      <w:pPr>
        <w:spacing w:after="0" w:line="114" w:lineRule="exact"/>
        <w:rPr>
          <w:sz w:val="20"/>
          <w:szCs w:val="20"/>
          <w:color w:val="auto"/>
        </w:rPr>
      </w:pPr>
    </w:p>
    <w:p>
      <w:pPr>
        <w:ind w:right="6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57" w:lineRule="exact"/>
        <w:rPr>
          <w:sz w:val="20"/>
          <w:szCs w:val="20"/>
          <w:color w:val="auto"/>
        </w:rPr>
      </w:pPr>
    </w:p>
    <w:p>
      <w:pPr>
        <w:ind w:right="18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57" w:lineRule="exact"/>
        <w:rPr>
          <w:sz w:val="20"/>
          <w:szCs w:val="20"/>
          <w:color w:val="auto"/>
        </w:rPr>
      </w:pPr>
    </w:p>
    <w:p>
      <w:pPr>
        <w:ind w:right="40" w:firstLine="436"/>
        <w:spacing w:after="0" w:line="255"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76"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Government and Other Regulations</w:t>
      </w:r>
      <w:r>
        <w:rPr>
          <w:rFonts w:ascii="Times New Roman" w:cs="Times New Roman" w:eastAsia="Times New Roman" w:hAnsi="Times New Roman"/>
          <w:sz w:val="18"/>
          <w:szCs w:val="18"/>
          <w:color w:val="auto"/>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76" w:lineRule="exact"/>
        <w:rPr>
          <w:sz w:val="20"/>
          <w:szCs w:val="20"/>
          <w:color w:val="auto"/>
        </w:rPr>
      </w:pPr>
    </w:p>
    <w:p>
      <w:pPr>
        <w:ind w:right="8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 Agreements shall be construed in accordance with and governed by but not the choice of law rules of the State of New York.</w:t>
      </w:r>
    </w:p>
    <w:p>
      <w:pPr>
        <w:spacing w:after="0" w:line="57" w:lineRule="exact"/>
        <w:rPr>
          <w:sz w:val="20"/>
          <w:szCs w:val="20"/>
          <w:color w:val="auto"/>
        </w:rPr>
      </w:pPr>
    </w:p>
    <w:p>
      <w:pPr>
        <w:ind w:firstLine="436"/>
        <w:spacing w:after="0" w:line="249" w:lineRule="auto"/>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the intent of the Company that payments and benefits under the Plan comply with Section 409A of the Code to the extent subject thereto, and, accordingly, to the maximum extent permitted, the Plan shall be interpreted and be administered to be in compliance therewith.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Notwithstanding anything to the contrary in this Plan (and unless an Award Agreement specifically provides otherwise), if the Shares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The Company shall have no liability to a Participant, or any other party, if an Option that is intended to be exempt from, or compliant with, Section 409A of the Code is not so exempt or compliant or for any action taken by the Committee.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500" w:top="268" w:right="499" w:bottom="1440" w:gutter="0" w:footer="0" w:header="0"/>
        </w:sectPr>
      </w:pPr>
    </w:p>
    <w:bookmarkStart w:id="28" w:name="page29"/>
    <w:bookmarkEnd w:id="28"/>
    <w:p>
      <w:pPr>
        <w:ind w:firstLine="43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13.15 </w:t>
      </w:r>
      <w:r>
        <w:rPr>
          <w:rFonts w:ascii="Times New Roman" w:cs="Times New Roman" w:eastAsia="Times New Roman" w:hAnsi="Times New Roman"/>
          <w:sz w:val="18"/>
          <w:szCs w:val="18"/>
          <w:u w:val="single" w:color="auto"/>
          <w:color w:val="auto"/>
        </w:rPr>
        <w:t>Appendices</w:t>
      </w:r>
      <w:r>
        <w:rPr>
          <w:rFonts w:ascii="Times New Roman" w:cs="Times New Roman" w:eastAsia="Times New Roman" w:hAnsi="Times New Roman"/>
          <w:sz w:val="18"/>
          <w:szCs w:val="18"/>
          <w:color w:val="auto"/>
        </w:rPr>
        <w:t xml:space="preserve">. The Committee may approve such supplements, amendments or appendices to the Plan as it may consider necessary or appropriate for purposes of compliance with Applicable Laws or otherwise and such supplements, amendments or appendices shall be considered a part of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supplements shall increase the share limitation contained in Section 3.1 of the Plan without the approval of the Board and shareholder approval to the extent required by Applicable Laws.</w:t>
      </w:r>
    </w:p>
    <w:p>
      <w:pPr>
        <w:spacing w:after="0" w:line="1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20"/>
          </w:cols>
          <w:pgMar w:left="500" w:top="268" w:right="5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Autohome Inc. of our report dated April 15, 2026 relating to the financial statements and the effectiveness of internal control over financial reporting, which appears in Autohome Inc.’s Annual Report on Form 20-F for the year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ectPr>
          <w:pgSz w:w="11900" w:h="16838" w:orient="portrait"/>
          <w:cols w:equalWidth="0" w:num="1">
            <w:col w:w="10900"/>
          </w:cols>
          <w:pgMar w:left="500" w:top="117" w:right="499" w:bottom="1440" w:gutter="0" w:footer="0" w:header="0"/>
        </w:sectPr>
      </w:pPr>
    </w:p>
    <w:bookmarkStart w:id="30" w:name="page31"/>
    <w:bookmarkEnd w:id="3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Autohome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00" w:type="dxa"/>
            <w:vAlign w:val="bottom"/>
            <w:vMerge w:val="restart"/>
            <w:shd w:val="clear" w:color="auto" w:fill="9ADAF6"/>
          </w:tcPr>
          <w:p>
            <w:pPr>
              <w:ind w:left="12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5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18"/>
                <w:szCs w:val="18"/>
                <w:color w:val="auto"/>
              </w:rPr>
            </w:pPr>
          </w:p>
        </w:tc>
        <w:tc>
          <w:tcPr>
            <w:tcW w:w="15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1100" w:type="dxa"/>
            <w:vAlign w:val="bottom"/>
            <w:shd w:val="clear" w:color="auto" w:fill="9ADAF6"/>
          </w:tcPr>
          <w:p>
            <w:pPr>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2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40" w:type="dxa"/>
            <w:vAlign w:val="bottom"/>
          </w:tcPr>
          <w:p>
            <w:pPr>
              <w:spacing w:after="0"/>
              <w:rPr>
                <w:sz w:val="23"/>
                <w:szCs w:val="23"/>
                <w:color w:val="auto"/>
              </w:rPr>
            </w:pPr>
          </w:p>
        </w:tc>
        <w:tc>
          <w:tcPr>
            <w:tcW w:w="15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5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Ordinary</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shares, par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US$0.0025</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10"/>
                <w:szCs w:val="10"/>
                <w:color w:val="auto"/>
              </w:rPr>
            </w:pPr>
          </w:p>
        </w:tc>
        <w:tc>
          <w:tcPr>
            <w:tcW w:w="110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issuable</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31,200,000</w:t>
            </w:r>
          </w:p>
        </w:tc>
        <w:tc>
          <w:tcPr>
            <w:tcW w:w="20" w:type="dxa"/>
            <w:vAlign w:val="bottom"/>
          </w:tcPr>
          <w:p>
            <w:pPr>
              <w:spacing w:after="0"/>
              <w:rPr>
                <w:sz w:val="10"/>
                <w:szCs w:val="10"/>
                <w:color w:val="auto"/>
              </w:rPr>
            </w:pPr>
          </w:p>
        </w:tc>
        <w:tc>
          <w:tcPr>
            <w:tcW w:w="12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$ 4.1575</w:t>
            </w:r>
          </w:p>
        </w:tc>
        <w:tc>
          <w:tcPr>
            <w:tcW w:w="40" w:type="dxa"/>
            <w:vAlign w:val="bottom"/>
          </w:tcPr>
          <w:p>
            <w:pPr>
              <w:spacing w:after="0"/>
              <w:rPr>
                <w:sz w:val="10"/>
                <w:szCs w:val="10"/>
                <w:color w:val="auto"/>
              </w:rPr>
            </w:pPr>
          </w:p>
        </w:tc>
        <w:tc>
          <w:tcPr>
            <w:tcW w:w="1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$ 17,913.50</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129,714,000.00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under the</w:t>
            </w: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2026</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Share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shd w:val="clear" w:color="auto" w:fill="E7E7E2"/>
          </w:tcPr>
          <w:p>
            <w:pPr>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$ 17,913.50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129,714,000.00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$ 17,913.50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80" w:hanging="225"/>
        <w:spacing w:after="0" w:line="232" w:lineRule="auto"/>
        <w:tabs>
          <w:tab w:leader="none" w:pos="800" w:val="left"/>
        </w:tabs>
        <w:numPr>
          <w:ilvl w:val="0"/>
          <w:numId w:val="21"/>
        </w:numPr>
        <w:rPr>
          <w:rFonts w:ascii="Arial" w:cs="Arial" w:eastAsia="Arial" w:hAnsi="Arial"/>
          <w:sz w:val="27"/>
          <w:szCs w:val="27"/>
          <w:color w:val="auto"/>
          <w:vertAlign w:val="superscript"/>
        </w:rPr>
      </w:pPr>
      <w:r>
        <w:rPr>
          <w:rFonts w:ascii="Arial" w:cs="Arial" w:eastAsia="Arial" w:hAnsi="Arial"/>
          <w:sz w:val="21"/>
          <w:szCs w:val="21"/>
          <w:color w:val="auto"/>
        </w:rPr>
        <w:t>(1) These shares may be represented by the Registrant's American depositary shares ("ADSs"), each representing four (4) ordinary shares of the Registrant. The Registrant's ADSs issuable upon deposit of the ordinary shares registered hereby have been registered under a separate registration statement on Form F-6 (333-192583). (2) Pursuant to Rule 416(a) under the Securities Act of 1933, as amended (the "Securities Act"), this Registration Statement shall also cover any additional ordinary shares that become issuable under the 2026 Share Incentive Plan by reason of any stock dividend, stock split, recapitalization or other similar transaction. (3) Estimated in accordance with Rules 457(c) and 457(h)</w:t>
      </w:r>
    </w:p>
    <w:p>
      <w:pPr>
        <w:spacing w:after="0" w:line="2" w:lineRule="exact"/>
        <w:rPr>
          <w:rFonts w:ascii="Arial" w:cs="Arial" w:eastAsia="Arial" w:hAnsi="Arial"/>
          <w:sz w:val="27"/>
          <w:szCs w:val="27"/>
          <w:color w:val="auto"/>
          <w:vertAlign w:val="superscript"/>
        </w:rPr>
      </w:pPr>
    </w:p>
    <w:p>
      <w:pPr>
        <w:ind w:left="800" w:right="680"/>
        <w:spacing w:after="0" w:line="243" w:lineRule="auto"/>
        <w:rPr>
          <w:rFonts w:ascii="Arial" w:cs="Arial" w:eastAsia="Arial" w:hAnsi="Arial"/>
          <w:sz w:val="27"/>
          <w:szCs w:val="27"/>
          <w:color w:val="auto"/>
          <w:vertAlign w:val="superscript"/>
        </w:rPr>
      </w:pPr>
      <w:r>
        <w:rPr>
          <w:rFonts w:ascii="Arial" w:cs="Arial" w:eastAsia="Arial" w:hAnsi="Arial"/>
          <w:sz w:val="21"/>
          <w:szCs w:val="21"/>
          <w:color w:val="auto"/>
        </w:rPr>
        <w:t>(1) promulgated under the Securities Act solely for the purpose of calculating the registration fee, and is based upon the price of US$16.63 per ADS, which was the average of the high and low prices of the Registrant's ADSs as quoted on the New York Stock Exchange on May 26, 2026, adjusted for ADS to ordinary share ratio. (4) Represents 31,200,000 ordinary shares reserved for future award grants under the 2026 Share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6387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6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6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lowerLetter"/>
      <w:start w:val="2"/>
    </w:lvl>
  </w:abstractNum>
  <w:abstractNum w:abstractNumId="5">
    <w:nsid w:val="109CF92E"/>
    <w:multiLevelType w:val="hybridMultilevel"/>
    <w:lvl w:ilvl="0">
      <w:lvlJc w:val="left"/>
      <w:lvlText w:val=" "/>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lowerRoman"/>
      <w:start w:val="3"/>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2"/>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
    <w:nsid w:val="3F2DBA31"/>
    <w:multiLevelType w:val="hybridMultilevel"/>
    <w:lvl w:ilvl="0">
      <w:lvlJc w:val="left"/>
      <w:lvlText w:val="(%1)"/>
      <w:numFmt w:val="decimal"/>
      <w:start w:val="5"/>
    </w:lvl>
    <w:lvl w:ilvl="1">
      <w:lvlJc w:val="left"/>
      <w:lvlText w:val="(%2)"/>
      <w:numFmt w:val="lowerLetter"/>
      <w:start w:val="4"/>
    </w:lvl>
    <w:lvl w:ilvl="2">
      <w:lvlJc w:val="left"/>
      <w:lvlText w:val="(%3)"/>
      <w:numFmt w:val="lowerRoman"/>
      <w:start w:val="1"/>
    </w:lvl>
  </w:abstractNum>
  <w:abstractNum w:abstractNumId="16">
    <w:nsid w:val="7C83E458"/>
    <w:multiLevelType w:val="hybridMultilevel"/>
    <w:lvl w:ilvl="0">
      <w:lvlJc w:val="left"/>
      <w:lvlText w:val="(%1)"/>
      <w:numFmt w:val="lowerRoman"/>
      <w:start w:val="3"/>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4"/>
    </w:lvl>
  </w:abstractNum>
  <w:abstractNum w:abstractNumId="20">
    <w:nsid w:val="628C895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jpe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22" Type="http://schemas.openxmlformats.org/officeDocument/2006/relationships/hyperlink" Target="http://www.sec.gov/ix?doc=/Archives/edgar/data/1527636/000119312526155932/athm-20251231.htm" TargetMode="External"/><Relationship Id="rId23" Type="http://schemas.openxmlformats.org/officeDocument/2006/relationships/hyperlink" Target="http://www.sec.gov/Archives/edgar/data/1527636/000119312526242898/d142685d6k.htm" TargetMode="External"/><Relationship Id="rId24" Type="http://schemas.openxmlformats.org/officeDocument/2006/relationships/hyperlink" Target="http://www.sec.gov/Archives/edgar/data/1527636/000119312526246185/d227988d6k.htm" TargetMode="External"/><Relationship Id="rId25" Type="http://schemas.openxmlformats.org/officeDocument/2006/relationships/hyperlink" Target="http://www.sec.gov/Archives/edgar/data/1527636/000119312521065446/d67431dex24.htm" TargetMode="External"/><Relationship Id="rId29" Type="http://schemas.openxmlformats.org/officeDocument/2006/relationships/hyperlink" Target="http://www.sec.gov/Archives/edgar/data/1527636/000119312523174416/d518754dex31.htm" TargetMode="External"/><Relationship Id="rId30" Type="http://schemas.openxmlformats.org/officeDocument/2006/relationships/hyperlink" Target="http://www.sec.gov/Archives/edgar/data/1527636/000119312521065446/d67431dex22.htm" TargetMode="External"/><Relationship Id="rId31" Type="http://schemas.openxmlformats.org/officeDocument/2006/relationships/hyperlink" Target="http://www.sec.gov/Archives/edgar/data/1527636/000119312514202516/d725593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2026-05-29T06:11:38Z</dcterms:created>
  <dcterms:modified xsi:type="dcterms:W3CDTF">2026-05-29T06:11:38Z</dcterms:modified>
</cp:coreProperties>
</file>